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22" w:rsidRDefault="00C17F7A" w:rsidP="00C17F7A">
      <w:pPr>
        <w:spacing w:after="460" w:line="240" w:lineRule="auto"/>
        <w:jc w:val="center"/>
        <w:rPr>
          <w:rFonts w:ascii="Times New Roman" w:hAnsi="Times New Roman" w:cs="Times New Roman"/>
          <w:b/>
          <w:sz w:val="32"/>
          <w:szCs w:val="32"/>
        </w:rPr>
      </w:pPr>
      <w:r w:rsidRPr="00C17F7A">
        <w:rPr>
          <w:rFonts w:ascii="Times New Roman" w:hAnsi="Times New Roman" w:cs="Times New Roman"/>
          <w:b/>
          <w:sz w:val="32"/>
          <w:szCs w:val="32"/>
        </w:rPr>
        <w:t>The Analysis of H.O.S Tjokroaminoto’s Figure Values in Historical Prespective</w:t>
      </w:r>
    </w:p>
    <w:p w:rsidR="00BE1187" w:rsidRDefault="00C17F7A" w:rsidP="00BE1187">
      <w:pPr>
        <w:spacing w:after="460" w:line="240" w:lineRule="auto"/>
        <w:jc w:val="center"/>
        <w:rPr>
          <w:rFonts w:ascii="Times New Roman" w:hAnsi="Times New Roman" w:cs="Times New Roman"/>
          <w:b/>
          <w:sz w:val="20"/>
          <w:szCs w:val="20"/>
        </w:rPr>
      </w:pPr>
      <w:r>
        <w:rPr>
          <w:rFonts w:ascii="Times New Roman" w:hAnsi="Times New Roman" w:cs="Times New Roman"/>
          <w:b/>
          <w:sz w:val="20"/>
          <w:szCs w:val="20"/>
        </w:rPr>
        <w:t>Septian Teguh Wijiyanto</w:t>
      </w:r>
      <w:r>
        <w:rPr>
          <w:rFonts w:ascii="Times New Roman" w:hAnsi="Times New Roman" w:cs="Times New Roman"/>
          <w:b/>
          <w:sz w:val="20"/>
          <w:szCs w:val="20"/>
          <w:vertAlign w:val="superscript"/>
        </w:rPr>
        <w:t>1</w:t>
      </w:r>
      <w:r>
        <w:rPr>
          <w:rFonts w:ascii="Times New Roman" w:hAnsi="Times New Roman" w:cs="Times New Roman"/>
          <w:b/>
          <w:sz w:val="20"/>
          <w:szCs w:val="20"/>
        </w:rPr>
        <w:t>, Prof. Ajat Sudrajat, M.Ag.</w:t>
      </w:r>
      <w:r>
        <w:rPr>
          <w:rFonts w:ascii="Times New Roman" w:hAnsi="Times New Roman" w:cs="Times New Roman"/>
          <w:b/>
          <w:sz w:val="20"/>
          <w:szCs w:val="20"/>
          <w:vertAlign w:val="superscript"/>
        </w:rPr>
        <w:t>2</w:t>
      </w:r>
      <w:r>
        <w:rPr>
          <w:rFonts w:ascii="Times New Roman" w:hAnsi="Times New Roman" w:cs="Times New Roman"/>
          <w:b/>
          <w:sz w:val="20"/>
          <w:szCs w:val="20"/>
          <w:vertAlign w:val="superscript"/>
        </w:rPr>
        <w:br/>
      </w:r>
      <w:r>
        <w:rPr>
          <w:rFonts w:ascii="Times New Roman" w:hAnsi="Times New Roman" w:cs="Times New Roman"/>
          <w:sz w:val="20"/>
          <w:szCs w:val="20"/>
          <w:vertAlign w:val="superscript"/>
        </w:rPr>
        <w:t xml:space="preserve">1,2 </w:t>
      </w:r>
      <w:r>
        <w:rPr>
          <w:rFonts w:ascii="Times New Roman" w:hAnsi="Times New Roman" w:cs="Times New Roman"/>
          <w:sz w:val="20"/>
          <w:szCs w:val="20"/>
        </w:rPr>
        <w:t>History Education Pascasarjana, Yogyakarta State University, Yogyakarta, Indonesia</w:t>
      </w:r>
      <w:r>
        <w:rPr>
          <w:rFonts w:ascii="Times New Roman" w:hAnsi="Times New Roman" w:cs="Times New Roman"/>
          <w:sz w:val="20"/>
          <w:szCs w:val="20"/>
        </w:rPr>
        <w:br/>
      </w:r>
      <w:hyperlink r:id="rId5" w:history="1">
        <w:r w:rsidR="00BE1187" w:rsidRPr="009B355F">
          <w:rPr>
            <w:rStyle w:val="Hyperlink"/>
            <w:rFonts w:ascii="Times New Roman" w:hAnsi="Times New Roman" w:cs="Times New Roman"/>
            <w:sz w:val="20"/>
            <w:szCs w:val="20"/>
            <w:vertAlign w:val="superscript"/>
          </w:rPr>
          <w:t>1</w:t>
        </w:r>
        <w:r w:rsidR="00BE1187" w:rsidRPr="009B355F">
          <w:rPr>
            <w:rStyle w:val="Hyperlink"/>
            <w:rFonts w:ascii="Times New Roman" w:hAnsi="Times New Roman" w:cs="Times New Roman"/>
            <w:sz w:val="20"/>
            <w:szCs w:val="20"/>
          </w:rPr>
          <w:t>septiantw209@gmail.com</w:t>
        </w:r>
      </w:hyperlink>
      <w:r w:rsidR="00BE1187">
        <w:rPr>
          <w:rFonts w:ascii="Times New Roman" w:hAnsi="Times New Roman" w:cs="Times New Roman"/>
          <w:sz w:val="20"/>
          <w:szCs w:val="20"/>
        </w:rPr>
        <w:t xml:space="preserve">, </w:t>
      </w:r>
      <w:hyperlink r:id="rId6" w:history="1">
        <w:r w:rsidR="00BE1187" w:rsidRPr="009B355F">
          <w:rPr>
            <w:rStyle w:val="Hyperlink"/>
            <w:rFonts w:ascii="Times New Roman" w:hAnsi="Times New Roman" w:cs="Times New Roman"/>
            <w:sz w:val="20"/>
            <w:szCs w:val="20"/>
            <w:vertAlign w:val="superscript"/>
          </w:rPr>
          <w:t>2</w:t>
        </w:r>
        <w:r w:rsidR="00BE1187" w:rsidRPr="009B355F">
          <w:rPr>
            <w:rStyle w:val="Hyperlink"/>
            <w:rFonts w:ascii="Times New Roman" w:hAnsi="Times New Roman" w:cs="Times New Roman"/>
            <w:sz w:val="20"/>
            <w:szCs w:val="20"/>
          </w:rPr>
          <w:t>ajat@uny.ac.id</w:t>
        </w:r>
      </w:hyperlink>
      <w:r w:rsidR="00BE1187">
        <w:rPr>
          <w:rFonts w:ascii="Times New Roman" w:hAnsi="Times New Roman" w:cs="Times New Roman"/>
          <w:sz w:val="20"/>
          <w:szCs w:val="20"/>
        </w:rPr>
        <w:t xml:space="preserve"> </w:t>
      </w:r>
      <w:r w:rsidR="00BE1187">
        <w:rPr>
          <w:rFonts w:ascii="Times New Roman" w:hAnsi="Times New Roman" w:cs="Times New Roman"/>
          <w:sz w:val="20"/>
          <w:szCs w:val="20"/>
        </w:rPr>
        <w:br/>
      </w:r>
      <w:r w:rsidR="00BE1187">
        <w:rPr>
          <w:rFonts w:ascii="Times New Roman" w:hAnsi="Times New Roman" w:cs="Times New Roman"/>
          <w:sz w:val="20"/>
          <w:szCs w:val="20"/>
        </w:rPr>
        <w:br/>
      </w:r>
      <w:r w:rsidR="00BE1187" w:rsidRPr="00BE1187">
        <w:rPr>
          <w:rFonts w:ascii="Times New Roman" w:hAnsi="Times New Roman" w:cs="Times New Roman"/>
          <w:b/>
          <w:sz w:val="20"/>
          <w:szCs w:val="20"/>
        </w:rPr>
        <w:t>ABSTRACT</w:t>
      </w:r>
    </w:p>
    <w:p w:rsidR="0048087B" w:rsidRDefault="00FB4822" w:rsidP="0048087B">
      <w:pPr>
        <w:spacing w:after="460" w:line="240" w:lineRule="auto"/>
        <w:ind w:left="720"/>
        <w:jc w:val="both"/>
        <w:rPr>
          <w:rFonts w:ascii="Times New Roman" w:hAnsi="Times New Roman"/>
          <w:sz w:val="20"/>
          <w:szCs w:val="20"/>
          <w:lang w:val="en-GB"/>
        </w:rPr>
      </w:pPr>
      <w:r w:rsidRPr="00BE1187">
        <w:rPr>
          <w:rFonts w:ascii="Times New Roman" w:hAnsi="Times New Roman"/>
          <w:sz w:val="20"/>
          <w:szCs w:val="20"/>
          <w:lang w:val="en-GB"/>
        </w:rPr>
        <w:t xml:space="preserve">This study aims to: (1) reveal the background of Tjokroaminoto's life; (2) analyzing the role of Tjokroaminoto in Indonesia's historical trajectory;  (3) examines the values ​​of Tjokroaminoto's figures;  (4) analyze how the values ​​of Tjokroaminoto's figure can be actualized in historical learning in schools. </w:t>
      </w:r>
      <w:r w:rsidR="00EA0D41">
        <w:rPr>
          <w:rFonts w:ascii="Times New Roman" w:hAnsi="Times New Roman"/>
          <w:sz w:val="20"/>
          <w:szCs w:val="20"/>
          <w:lang w:val="en-GB"/>
        </w:rPr>
        <w:t xml:space="preserve">This research is qualitative study with historical approach. The subject and object of this study are related to the dimension of history, so it is necessary to reconstruct with a historical method. This study employed a document study consisting of primary and secondary sources. In addition, it also used interviews as reinforcement. </w:t>
      </w:r>
      <w:r w:rsidRPr="00BE1187">
        <w:rPr>
          <w:rFonts w:ascii="Times New Roman" w:hAnsi="Times New Roman"/>
          <w:sz w:val="20"/>
          <w:szCs w:val="20"/>
          <w:lang w:val="en-GB"/>
        </w:rPr>
        <w:t>The result shows that, the first: Tjokroaminoto was born and grew up in an environment close to Islam. He attended school at OSVIA Magelang, which took him to become a civil servant.  Tjokroaminoto prefered to leave his establishment and fight against colonialism.  The second, Tjokroaminoto chose to join the SDI organization, turning SDI into SI and having political orientation.  Tjokroaminoto succeeded in becoming the leader of SI and bringing SI into a large and influential organization.  He used the Islamic value in every struggle both in politics and education. The third, Tjokroaminoto's figure values that can be exemplary are leadership, independence, courage to take risks, orientation to action, and hard work.  All of these values ​​are manifested in Tjokroaminoto's daily life. The fourth, the actualization of Tjokroaminoto's figure values ​​in order to contribute to the world of education is realized in the hope that can inspire the teachers of history that teaching history does not only present a series of facts and events, but the teachers build understanding and awareness for students about the meaning behind the events, including values  what values ​​are contained in these historical events.</w:t>
      </w:r>
    </w:p>
    <w:p w:rsidR="00BE1187" w:rsidRPr="0048087B" w:rsidRDefault="00FB4822" w:rsidP="0048087B">
      <w:pPr>
        <w:spacing w:after="460" w:line="240" w:lineRule="auto"/>
        <w:ind w:left="720"/>
        <w:jc w:val="both"/>
        <w:rPr>
          <w:rFonts w:ascii="Times New Roman" w:hAnsi="Times New Roman" w:cs="Times New Roman"/>
          <w:sz w:val="20"/>
          <w:szCs w:val="20"/>
        </w:rPr>
      </w:pPr>
      <w:r w:rsidRPr="00BE1187">
        <w:rPr>
          <w:rFonts w:ascii="Times New Roman" w:hAnsi="Times New Roman"/>
          <w:b/>
          <w:i/>
          <w:sz w:val="20"/>
          <w:szCs w:val="20"/>
          <w:lang w:val="en-GB"/>
        </w:rPr>
        <w:t xml:space="preserve">Keywords: </w:t>
      </w:r>
      <w:r w:rsidRPr="00BE1187">
        <w:rPr>
          <w:rFonts w:ascii="Times New Roman" w:hAnsi="Times New Roman"/>
          <w:i/>
          <w:sz w:val="20"/>
          <w:szCs w:val="20"/>
          <w:lang w:val="en-GB"/>
        </w:rPr>
        <w:t>figure, Tjokroaminoto, historicallly</w:t>
      </w:r>
    </w:p>
    <w:p w:rsidR="00BE1187" w:rsidRDefault="00BE1187" w:rsidP="00BE1187">
      <w:pPr>
        <w:pStyle w:val="ListParagraph"/>
        <w:numPr>
          <w:ilvl w:val="0"/>
          <w:numId w:val="1"/>
        </w:numPr>
        <w:spacing w:after="460" w:line="240" w:lineRule="auto"/>
        <w:ind w:left="360"/>
        <w:jc w:val="both"/>
        <w:rPr>
          <w:rFonts w:ascii="Times New Roman" w:hAnsi="Times New Roman"/>
          <w:b/>
          <w:sz w:val="20"/>
          <w:szCs w:val="20"/>
          <w:lang w:val="en-GB"/>
        </w:rPr>
      </w:pPr>
      <w:r>
        <w:rPr>
          <w:rFonts w:ascii="Times New Roman" w:hAnsi="Times New Roman"/>
          <w:b/>
          <w:sz w:val="20"/>
          <w:szCs w:val="20"/>
          <w:lang w:val="en-GB"/>
        </w:rPr>
        <w:t>INTRODUCTION</w:t>
      </w:r>
    </w:p>
    <w:p w:rsidR="00BE1187" w:rsidRDefault="00BE1187" w:rsidP="00BE1187">
      <w:pPr>
        <w:pStyle w:val="ListParagraph"/>
        <w:spacing w:after="460" w:line="240" w:lineRule="auto"/>
        <w:ind w:left="360"/>
        <w:jc w:val="both"/>
        <w:rPr>
          <w:rFonts w:ascii="Times New Roman" w:hAnsi="Times New Roman"/>
          <w:b/>
          <w:sz w:val="20"/>
          <w:szCs w:val="20"/>
          <w:lang w:val="en-GB"/>
        </w:rPr>
      </w:pPr>
    </w:p>
    <w:p w:rsidR="00BE1187" w:rsidRDefault="005C1F5A" w:rsidP="00BE1187">
      <w:pPr>
        <w:pStyle w:val="ListParagraph"/>
        <w:spacing w:after="460" w:line="240" w:lineRule="auto"/>
        <w:ind w:left="0" w:firstLine="720"/>
        <w:jc w:val="both"/>
        <w:rPr>
          <w:rFonts w:ascii="Times New Roman" w:hAnsi="Times New Roman" w:cs="Times New Roman"/>
          <w:sz w:val="20"/>
          <w:szCs w:val="20"/>
          <w:lang w:val="en-GB"/>
        </w:rPr>
      </w:pPr>
      <w:r>
        <w:rPr>
          <w:rFonts w:ascii="Times New Roman" w:hAnsi="Times New Roman" w:cs="Times New Roman"/>
          <w:sz w:val="20"/>
          <w:szCs w:val="20"/>
          <w:lang w:val="en-GB"/>
        </w:rPr>
        <w:t>A</w:t>
      </w:r>
      <w:r w:rsidR="00FB4822" w:rsidRPr="00BE1187">
        <w:rPr>
          <w:rFonts w:ascii="Times New Roman" w:hAnsi="Times New Roman" w:cs="Times New Roman"/>
          <w:sz w:val="20"/>
          <w:szCs w:val="20"/>
          <w:lang w:val="en-GB"/>
        </w:rPr>
        <w:t xml:space="preserve"> nation’s life could only become more advanced, modern, and prosperous through great education system. According to law number 20, article number one, 2003, stated that education is an attempt of an individual to develop their potency, so that they could have intelligence, good morale, good religion understanding that benefits themselves and their country.The management </w:t>
      </w:r>
      <w:r w:rsidR="00FB4822" w:rsidRPr="00BE1187">
        <w:rPr>
          <w:rFonts w:ascii="Times New Roman" w:hAnsi="Times New Roman" w:cs="Times New Roman"/>
          <w:sz w:val="20"/>
          <w:szCs w:val="20"/>
          <w:lang w:val="en-GB"/>
        </w:rPr>
        <w:lastRenderedPageBreak/>
        <w:t>and goals of education in Indonesia has been ruled by law number 20, 2003 on chapter II article 3, stated: education’s goal is to shape an individual to become an individual with devotion to God, a good morale, high level capability, independent, critical, and democratic. Education could help a person to be able to decide a choice through thinking, behaving, and acting</w:t>
      </w:r>
      <w:r>
        <w:rPr>
          <w:rFonts w:ascii="Times New Roman" w:hAnsi="Times New Roman" w:cs="Times New Roman"/>
          <w:sz w:val="20"/>
          <w:szCs w:val="20"/>
          <w:lang w:val="en-GB"/>
        </w:rPr>
        <w:t xml:space="preserve"> [1]</w:t>
      </w:r>
      <w:r w:rsidR="00FB4822" w:rsidRPr="00BE1187">
        <w:rPr>
          <w:rFonts w:ascii="Times New Roman" w:hAnsi="Times New Roman" w:cs="Times New Roman"/>
          <w:sz w:val="20"/>
          <w:szCs w:val="20"/>
          <w:lang w:val="en-GB"/>
        </w:rPr>
        <w:t>.</w:t>
      </w:r>
    </w:p>
    <w:p w:rsidR="00BE1187" w:rsidRDefault="00FB4822" w:rsidP="00BE1187">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Ki Hadjar explains that in order to accomplish things, like (1) steps in education have to fit its nature, (2) “kodrat” is part of culture and society, (3) that culture have always been fitted with changing times, (4) past of a country really determined its today’s condition, (5) mix between countries often are easily occur because modern way of modern relations, so we need wisdom and savviness in order to picking the right choices</w:t>
      </w:r>
      <w:r w:rsidR="005C1F5A">
        <w:rPr>
          <w:rFonts w:ascii="Times New Roman" w:hAnsi="Times New Roman" w:cs="Times New Roman"/>
          <w:sz w:val="20"/>
          <w:szCs w:val="20"/>
          <w:lang w:val="en-GB"/>
        </w:rPr>
        <w:t xml:space="preserve"> [2]</w:t>
      </w:r>
      <w:r w:rsidRPr="00BE1187">
        <w:rPr>
          <w:rFonts w:ascii="Times New Roman" w:hAnsi="Times New Roman" w:cs="Times New Roman"/>
          <w:sz w:val="20"/>
          <w:szCs w:val="20"/>
          <w:lang w:val="en-GB"/>
        </w:rPr>
        <w:t>.</w:t>
      </w:r>
      <w:r w:rsidR="005C1F5A">
        <w:rPr>
          <w:rFonts w:ascii="Times New Roman" w:hAnsi="Times New Roman" w:cs="Times New Roman"/>
          <w:sz w:val="20"/>
          <w:szCs w:val="20"/>
          <w:lang w:val="en-GB"/>
        </w:rPr>
        <w:t xml:space="preserve"> </w:t>
      </w:r>
      <w:r w:rsidRPr="00BE1187">
        <w:rPr>
          <w:rFonts w:ascii="Times New Roman" w:hAnsi="Times New Roman" w:cs="Times New Roman"/>
          <w:sz w:val="20"/>
          <w:szCs w:val="20"/>
          <w:lang w:val="en-GB"/>
        </w:rPr>
        <w:t>National education as the way to transforming, civilizing, developing, and empowering students is not yet able to shaped a citizen with complete Indonesian characteristic. It shows by crisis of role model, low level of national identity, and multiple social problems. Indonesia seems have to lost character and national identity that has been built by its ancestors, heroes, and previous national figures</w:t>
      </w:r>
      <w:r w:rsidR="005C1F5A">
        <w:rPr>
          <w:rFonts w:ascii="Times New Roman" w:hAnsi="Times New Roman" w:cs="Times New Roman"/>
          <w:sz w:val="20"/>
          <w:szCs w:val="20"/>
          <w:lang w:val="en-GB"/>
        </w:rPr>
        <w:t xml:space="preserve"> [3]</w:t>
      </w:r>
      <w:r w:rsidRPr="00BE1187">
        <w:rPr>
          <w:rFonts w:ascii="Times New Roman" w:hAnsi="Times New Roman" w:cs="Times New Roman"/>
          <w:sz w:val="20"/>
          <w:szCs w:val="20"/>
          <w:lang w:val="en-GB"/>
        </w:rPr>
        <w:t>. This country seems unable to shows a characteristic of a solid, hardworking nation: honest, loving, empathetic, and developing togetherness that supports every nation’s component. Symbol and value of Pancasila such as, religiousness, humanism, politeness, peace loving, togetherness, willing to sacrifice, and love for the motherland are forgotten.</w:t>
      </w:r>
    </w:p>
    <w:p w:rsidR="00BE1187" w:rsidRDefault="00FB4822" w:rsidP="00BE1187">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History learning in application of 2013 Curriculum have strategic role. History learning is hoped to be able to build character values in students. If historical facts could be dug up deeper and seen from what behind it, it could be very useful</w:t>
      </w:r>
      <w:r w:rsidR="00617703">
        <w:rPr>
          <w:rFonts w:ascii="Times New Roman" w:hAnsi="Times New Roman" w:cs="Times New Roman"/>
          <w:sz w:val="20"/>
          <w:szCs w:val="20"/>
          <w:lang w:val="en-GB"/>
        </w:rPr>
        <w:t xml:space="preserve"> </w:t>
      </w:r>
      <w:r w:rsidR="005C1F5A">
        <w:rPr>
          <w:rFonts w:ascii="Times New Roman" w:hAnsi="Times New Roman" w:cs="Times New Roman"/>
          <w:sz w:val="20"/>
          <w:szCs w:val="20"/>
          <w:lang w:val="en-GB"/>
        </w:rPr>
        <w:t>[4]</w:t>
      </w:r>
      <w:r w:rsidR="00BE1187">
        <w:rPr>
          <w:rFonts w:ascii="Times New Roman" w:hAnsi="Times New Roman" w:cs="Times New Roman"/>
          <w:sz w:val="20"/>
          <w:szCs w:val="20"/>
          <w:lang w:val="en-GB"/>
        </w:rPr>
        <w:t xml:space="preserve">. </w:t>
      </w:r>
      <w:r w:rsidRPr="00BE1187">
        <w:rPr>
          <w:rFonts w:ascii="Times New Roman" w:hAnsi="Times New Roman" w:cs="Times New Roman"/>
          <w:sz w:val="20"/>
          <w:szCs w:val="20"/>
          <w:lang w:val="en-GB"/>
        </w:rPr>
        <w:t>Sardiman explains that learning history could give examples to follow in today’s life so that it could give enlightenment for future. History are full of morale lessons. Thomas Holt stated that history shouldn’t displayed as compilation of facts, but rather become something developed and accepting different point of views.</w:t>
      </w:r>
      <w:r w:rsidR="00BE1187">
        <w:rPr>
          <w:rFonts w:ascii="Times New Roman" w:hAnsi="Times New Roman" w:cs="Times New Roman"/>
          <w:sz w:val="20"/>
          <w:szCs w:val="20"/>
          <w:lang w:val="en-GB"/>
        </w:rPr>
        <w:t xml:space="preserve"> </w:t>
      </w:r>
      <w:r w:rsidRPr="00BE1187">
        <w:rPr>
          <w:rFonts w:ascii="Times New Roman" w:hAnsi="Times New Roman" w:cs="Times New Roman"/>
          <w:sz w:val="20"/>
          <w:szCs w:val="20"/>
          <w:lang w:val="en-GB"/>
        </w:rPr>
        <w:t>One of history key point which its value could be dug up deeper is human or figure. In history there are a lot of important events which its figure values could be dug up more. In further study of character value as inspiration and example in education, Ha</w:t>
      </w:r>
      <w:r w:rsidR="005C1F5A">
        <w:rPr>
          <w:rFonts w:ascii="Times New Roman" w:hAnsi="Times New Roman" w:cs="Times New Roman"/>
          <w:sz w:val="20"/>
          <w:szCs w:val="20"/>
          <w:lang w:val="en-GB"/>
        </w:rPr>
        <w:t xml:space="preserve">ji Oemar Said Tjokroaminoto’s </w:t>
      </w:r>
      <w:r w:rsidRPr="00BE1187">
        <w:rPr>
          <w:rFonts w:ascii="Times New Roman" w:hAnsi="Times New Roman" w:cs="Times New Roman"/>
          <w:sz w:val="20"/>
          <w:szCs w:val="20"/>
          <w:lang w:val="en-GB"/>
        </w:rPr>
        <w:t>will be written T</w:t>
      </w:r>
      <w:r w:rsidR="005C1F5A">
        <w:rPr>
          <w:rFonts w:ascii="Times New Roman" w:hAnsi="Times New Roman" w:cs="Times New Roman"/>
          <w:sz w:val="20"/>
          <w:szCs w:val="20"/>
          <w:lang w:val="en-GB"/>
        </w:rPr>
        <w:t xml:space="preserve">jokroaminoto in further parts </w:t>
      </w:r>
      <w:r w:rsidRPr="00BE1187">
        <w:rPr>
          <w:rFonts w:ascii="Times New Roman" w:hAnsi="Times New Roman" w:cs="Times New Roman"/>
          <w:sz w:val="20"/>
          <w:szCs w:val="20"/>
          <w:lang w:val="en-GB"/>
        </w:rPr>
        <w:t>character value can be analysed. Tjokroaminoto often called as “national teacher” because his acts and thoughts can be used until this day.</w:t>
      </w:r>
    </w:p>
    <w:p w:rsidR="00BE1187" w:rsidRDefault="00FB4822" w:rsidP="00BE1187">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 xml:space="preserve">Studies or analyses about character values of a hero in historical facts are low. Studies about Tjokroaminoto always focused on his role in politics, even though other sides of Tjoroaminoto are interesting to analysed even further. Even though his values are still relevant with today’s condition. </w:t>
      </w:r>
    </w:p>
    <w:p w:rsidR="00EA0D41" w:rsidRDefault="00EA0D41" w:rsidP="00BE1187">
      <w:pPr>
        <w:pStyle w:val="ListParagraph"/>
        <w:spacing w:after="460" w:line="240" w:lineRule="auto"/>
        <w:ind w:left="0" w:firstLine="720"/>
        <w:jc w:val="both"/>
        <w:rPr>
          <w:rFonts w:ascii="Times New Roman" w:hAnsi="Times New Roman" w:cs="Times New Roman"/>
          <w:sz w:val="20"/>
          <w:szCs w:val="20"/>
          <w:lang w:val="en-GB"/>
        </w:rPr>
      </w:pPr>
    </w:p>
    <w:p w:rsidR="00BE1187" w:rsidRPr="00BE1187" w:rsidRDefault="00BE1187" w:rsidP="00BE1187">
      <w:pPr>
        <w:pStyle w:val="ListParagraph"/>
        <w:numPr>
          <w:ilvl w:val="0"/>
          <w:numId w:val="1"/>
        </w:numPr>
        <w:spacing w:after="460" w:line="240" w:lineRule="auto"/>
        <w:ind w:left="360"/>
        <w:jc w:val="both"/>
        <w:rPr>
          <w:rFonts w:ascii="Times New Roman" w:hAnsi="Times New Roman" w:cs="Times New Roman"/>
          <w:sz w:val="20"/>
          <w:szCs w:val="20"/>
          <w:lang w:val="en-GB"/>
        </w:rPr>
      </w:pPr>
      <w:r w:rsidRPr="00BE1187">
        <w:rPr>
          <w:rFonts w:ascii="Times New Roman" w:hAnsi="Times New Roman" w:cs="Times New Roman"/>
          <w:b/>
          <w:sz w:val="20"/>
          <w:szCs w:val="20"/>
          <w:lang w:val="en-GB"/>
        </w:rPr>
        <w:t>RESEARCH METHODS</w:t>
      </w:r>
    </w:p>
    <w:p w:rsidR="00BE1187" w:rsidRDefault="00BE1187" w:rsidP="00BE1187">
      <w:pPr>
        <w:pStyle w:val="ListParagraph"/>
        <w:spacing w:after="460" w:line="240" w:lineRule="auto"/>
        <w:ind w:left="0" w:firstLine="720"/>
        <w:jc w:val="both"/>
        <w:rPr>
          <w:rFonts w:ascii="Times New Roman" w:hAnsi="Times New Roman" w:cs="Times New Roman"/>
          <w:sz w:val="20"/>
          <w:szCs w:val="20"/>
          <w:lang w:val="en-GB"/>
        </w:rPr>
      </w:pPr>
    </w:p>
    <w:p w:rsidR="005C1F5A" w:rsidRDefault="00FB4822" w:rsidP="005C1F5A">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Research type that being used is historic-qualitative. Analyses of character values need to be studied with those two methods so that the values have valid data. This</w:t>
      </w:r>
      <w:r w:rsidR="0048087B">
        <w:rPr>
          <w:rFonts w:ascii="Times New Roman" w:hAnsi="Times New Roman" w:cs="Times New Roman"/>
          <w:sz w:val="20"/>
          <w:szCs w:val="20"/>
          <w:lang w:val="en-GB"/>
        </w:rPr>
        <w:t xml:space="preserve"> thing</w:t>
      </w:r>
      <w:r w:rsidRPr="00BE1187">
        <w:rPr>
          <w:rFonts w:ascii="Times New Roman" w:hAnsi="Times New Roman" w:cs="Times New Roman"/>
          <w:sz w:val="20"/>
          <w:szCs w:val="20"/>
          <w:lang w:val="en-GB"/>
        </w:rPr>
        <w:t xml:space="preserve"> need to be done so that data that already gathered can be verified, so when qualitative method is being used there are no data from historic method. Research with historical approach that continued with analyses about Tjokroaminoto’s values can be actualised in history subject in school especially in topic of national movements or specifically taught topic about Tjokroaminoto.</w:t>
      </w:r>
    </w:p>
    <w:p w:rsidR="00B317D4" w:rsidRPr="005C1F5A" w:rsidRDefault="00FB4822" w:rsidP="005C1F5A">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 xml:space="preserve">Analyses about Tjokroaminoto including thoughts, acts, and struggles in society. Subject and objects that been analysed related with historic dimension, hence this research needs reconstruction with history research methods or historiography. Therefore, this research used </w:t>
      </w:r>
      <w:r w:rsidRPr="00BE1187">
        <w:rPr>
          <w:rFonts w:ascii="Times New Roman" w:hAnsi="Times New Roman" w:cs="Times New Roman"/>
          <w:sz w:val="20"/>
          <w:szCs w:val="20"/>
          <w:lang w:val="en-GB"/>
        </w:rPr>
        <w:lastRenderedPageBreak/>
        <w:t xml:space="preserve">qualitative research with history methodologic approach. </w:t>
      </w:r>
      <w:r w:rsidR="005C1F5A">
        <w:rPr>
          <w:rFonts w:ascii="Times New Roman" w:hAnsi="Times New Roman" w:cs="Times New Roman"/>
          <w:sz w:val="20"/>
          <w:szCs w:val="20"/>
          <w:lang w:val="en-GB"/>
        </w:rPr>
        <w:t>T</w:t>
      </w:r>
      <w:r w:rsidRPr="00BE1187">
        <w:rPr>
          <w:rFonts w:ascii="Times New Roman" w:hAnsi="Times New Roman" w:cs="Times New Roman"/>
          <w:sz w:val="20"/>
          <w:szCs w:val="20"/>
          <w:lang w:val="en-GB"/>
        </w:rPr>
        <w:t>hat in this research, data that have been found needs to be analysed with historic methods, because facts that have been found are historic facts that needs to be reconstructed and arranged chronologically</w:t>
      </w:r>
      <w:r w:rsidR="00617703">
        <w:rPr>
          <w:rFonts w:ascii="Times New Roman" w:hAnsi="Times New Roman" w:cs="Times New Roman"/>
          <w:sz w:val="20"/>
          <w:szCs w:val="20"/>
          <w:lang w:val="en-GB"/>
        </w:rPr>
        <w:t xml:space="preserve"> </w:t>
      </w:r>
      <w:r w:rsidR="005C1F5A">
        <w:rPr>
          <w:rFonts w:ascii="Times New Roman" w:hAnsi="Times New Roman" w:cs="Times New Roman"/>
          <w:sz w:val="20"/>
          <w:szCs w:val="20"/>
          <w:lang w:val="en-GB"/>
        </w:rPr>
        <w:t>[5]</w:t>
      </w:r>
      <w:r w:rsidRPr="00BE1187">
        <w:rPr>
          <w:rFonts w:ascii="Times New Roman" w:hAnsi="Times New Roman" w:cs="Times New Roman"/>
          <w:sz w:val="20"/>
          <w:szCs w:val="20"/>
          <w:lang w:val="en-GB"/>
        </w:rPr>
        <w:t>.</w:t>
      </w:r>
    </w:p>
    <w:p w:rsidR="00B317D4" w:rsidRDefault="00B317D4" w:rsidP="00B317D4">
      <w:pPr>
        <w:spacing w:after="0" w:line="240" w:lineRule="auto"/>
        <w:jc w:val="both"/>
        <w:rPr>
          <w:rFonts w:ascii="Times New Roman" w:hAnsi="Times New Roman" w:cs="Times New Roman"/>
          <w:sz w:val="20"/>
          <w:szCs w:val="20"/>
          <w:lang w:val="en-GB"/>
        </w:rPr>
      </w:pPr>
      <w:r w:rsidRPr="00BE1187">
        <w:rPr>
          <w:rFonts w:ascii="Times New Roman" w:hAnsi="Times New Roman" w:cs="Times New Roman"/>
          <w:b/>
          <w:sz w:val="20"/>
          <w:szCs w:val="20"/>
          <w:lang w:val="en-GB"/>
        </w:rPr>
        <w:t>Place and Time of Research</w:t>
      </w:r>
    </w:p>
    <w:p w:rsidR="00FB4822" w:rsidRPr="00B317D4"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This research is completed by analysing Tjokroaminoto’s writings and other writings about Tjokroaminoto. Research took place from January until June 2019. Supporting data that have been gathered, came from multiple scientific writings, research, and documents that have correlation with Tjokroaminoto in which then analysed as source or secondary data.</w:t>
      </w:r>
    </w:p>
    <w:p w:rsidR="00FB4822" w:rsidRPr="00BE1187"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Literature studies are done in order to collect necessary data by visiting: (1) Yogyakarta State University Library, (2) Yogyakarta Regional Library, (3) Yogyakarta Regional Archive, (4) Gadjah Mada University Library, and (5) Yogyakarta UIN Sunan Kalijaga Library.</w:t>
      </w:r>
    </w:p>
    <w:p w:rsidR="00B317D4" w:rsidRDefault="00B317D4" w:rsidP="00B317D4">
      <w:pPr>
        <w:spacing w:after="0" w:line="240" w:lineRule="auto"/>
        <w:jc w:val="both"/>
        <w:rPr>
          <w:rFonts w:ascii="Times New Roman" w:hAnsi="Times New Roman" w:cs="Times New Roman"/>
          <w:b/>
          <w:sz w:val="20"/>
          <w:szCs w:val="20"/>
          <w:lang w:val="en-GB"/>
        </w:rPr>
      </w:pPr>
    </w:p>
    <w:p w:rsidR="00FB4822" w:rsidRPr="00BE1187" w:rsidRDefault="00FB4822" w:rsidP="00B317D4">
      <w:pPr>
        <w:spacing w:after="0" w:line="240" w:lineRule="auto"/>
        <w:jc w:val="both"/>
        <w:rPr>
          <w:rFonts w:ascii="Times New Roman" w:hAnsi="Times New Roman" w:cs="Times New Roman"/>
          <w:sz w:val="20"/>
          <w:szCs w:val="20"/>
          <w:lang w:val="en-GB"/>
        </w:rPr>
      </w:pPr>
      <w:r w:rsidRPr="00BE1187">
        <w:rPr>
          <w:rFonts w:ascii="Times New Roman" w:hAnsi="Times New Roman" w:cs="Times New Roman"/>
          <w:b/>
          <w:sz w:val="20"/>
          <w:szCs w:val="20"/>
          <w:lang w:val="en-GB"/>
        </w:rPr>
        <w:t>Data Source</w:t>
      </w:r>
    </w:p>
    <w:p w:rsidR="00FB4822" w:rsidRPr="00BE1187"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Data source in this research came from primary source and secondary source. Primary source is collected from the person itself or other person that saw the event. Whereas secondary source is other people’s creation</w:t>
      </w:r>
      <w:r w:rsidR="006C39D7">
        <w:rPr>
          <w:rFonts w:ascii="Times New Roman" w:hAnsi="Times New Roman" w:cs="Times New Roman"/>
          <w:sz w:val="20"/>
          <w:szCs w:val="20"/>
          <w:lang w:val="en-GB"/>
        </w:rPr>
        <w:t xml:space="preserve"> [6]</w:t>
      </w:r>
      <w:r w:rsidRPr="00BE1187">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T</w:t>
      </w:r>
      <w:r w:rsidRPr="00BE1187">
        <w:rPr>
          <w:rFonts w:ascii="Times New Roman" w:hAnsi="Times New Roman" w:cs="Times New Roman"/>
          <w:sz w:val="20"/>
          <w:szCs w:val="20"/>
          <w:lang w:val="en-GB"/>
        </w:rPr>
        <w:t>hat primary source, also called as real source created during events of history. Hence, primary source is a source that gathered or collected from testimony or explanation from the subject or witnesses that really witness the event with its own senses.</w:t>
      </w:r>
    </w:p>
    <w:p w:rsidR="00B317D4" w:rsidRDefault="00B317D4" w:rsidP="00B317D4">
      <w:pPr>
        <w:spacing w:after="0" w:line="240" w:lineRule="auto"/>
        <w:jc w:val="both"/>
        <w:rPr>
          <w:rFonts w:ascii="Times New Roman" w:hAnsi="Times New Roman" w:cs="Times New Roman"/>
          <w:b/>
          <w:sz w:val="20"/>
          <w:szCs w:val="20"/>
          <w:lang w:val="en-GB"/>
        </w:rPr>
      </w:pPr>
    </w:p>
    <w:p w:rsidR="00FB4822" w:rsidRPr="00BE1187" w:rsidRDefault="00FB4822" w:rsidP="00B317D4">
      <w:pPr>
        <w:spacing w:after="0" w:line="240" w:lineRule="auto"/>
        <w:jc w:val="both"/>
        <w:rPr>
          <w:rFonts w:ascii="Times New Roman" w:hAnsi="Times New Roman" w:cs="Times New Roman"/>
          <w:b/>
          <w:sz w:val="20"/>
          <w:szCs w:val="20"/>
          <w:lang w:val="en-GB"/>
        </w:rPr>
      </w:pPr>
      <w:r w:rsidRPr="00BE1187">
        <w:rPr>
          <w:rFonts w:ascii="Times New Roman" w:hAnsi="Times New Roman" w:cs="Times New Roman"/>
          <w:b/>
          <w:sz w:val="20"/>
          <w:szCs w:val="20"/>
          <w:lang w:val="en-GB"/>
        </w:rPr>
        <w:t>Data Collecting Technique and Instrument</w:t>
      </w:r>
    </w:p>
    <w:p w:rsidR="00FB4822" w:rsidRPr="00BE1187"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Parallel with Sugiyono’s opinion data collecting technique is important step in research to do in order to collect data. Kaelan explains that observation, interview, and documentation is important to note during collecting data in qualitative research. Object in analyses is Tjokroaminoto’s character values. Therefore, observation is completed with gathering data or information about Tjokroaminoto.</w:t>
      </w:r>
    </w:p>
    <w:p w:rsidR="00B317D4" w:rsidRPr="00B317D4" w:rsidRDefault="00FB4822" w:rsidP="006C39D7">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Kaelan stated that main instrument of analyses is human instrument. Research problems fitted with research purpose so that the researchers able to arrange instrument of collecting data. Theories about Tjokroaminoto’s character values became the basis of arrangement of data collecting instrument. Rubric of analyses then used as guide of collecting data.</w:t>
      </w:r>
    </w:p>
    <w:p w:rsidR="00936451" w:rsidRPr="00B317D4" w:rsidRDefault="00936451" w:rsidP="00B317D4">
      <w:pPr>
        <w:spacing w:after="0" w:line="240" w:lineRule="auto"/>
        <w:jc w:val="center"/>
        <w:rPr>
          <w:rFonts w:asciiTheme="majorBidi" w:hAnsiTheme="majorBidi" w:cstheme="majorBidi"/>
          <w:sz w:val="20"/>
          <w:szCs w:val="20"/>
        </w:rPr>
      </w:pPr>
      <w:r w:rsidRPr="00B317D4">
        <w:rPr>
          <w:rFonts w:asciiTheme="majorBidi" w:hAnsiTheme="majorBidi" w:cstheme="majorBidi"/>
          <w:sz w:val="20"/>
          <w:szCs w:val="20"/>
        </w:rPr>
        <w:t>Table 1. Lattice of Instrument Values for Tjokroaminoto Figure</w:t>
      </w:r>
    </w:p>
    <w:tbl>
      <w:tblPr>
        <w:tblStyle w:val="TableGrid"/>
        <w:tblW w:w="0" w:type="auto"/>
        <w:tblLook w:val="04A0" w:firstRow="1" w:lastRow="0" w:firstColumn="1" w:lastColumn="0" w:noHBand="0" w:noVBand="1"/>
      </w:tblPr>
      <w:tblGrid>
        <w:gridCol w:w="553"/>
        <w:gridCol w:w="1630"/>
        <w:gridCol w:w="5727"/>
      </w:tblGrid>
      <w:tr w:rsidR="00936451" w:rsidRPr="00187FE6" w:rsidTr="00527F54">
        <w:tc>
          <w:tcPr>
            <w:tcW w:w="562" w:type="dxa"/>
            <w:shd w:val="clear" w:color="auto" w:fill="DEEAF6" w:themeFill="accent1" w:themeFillTint="33"/>
          </w:tcPr>
          <w:p w:rsidR="00936451" w:rsidRPr="00B317D4" w:rsidRDefault="00936451" w:rsidP="00B317D4">
            <w:pPr>
              <w:rPr>
                <w:rFonts w:asciiTheme="majorBidi" w:hAnsiTheme="majorBidi" w:cstheme="majorBidi"/>
                <w:b/>
                <w:bCs/>
                <w:sz w:val="20"/>
                <w:szCs w:val="20"/>
              </w:rPr>
            </w:pPr>
            <w:r w:rsidRPr="00B317D4">
              <w:rPr>
                <w:rFonts w:asciiTheme="majorBidi" w:hAnsiTheme="majorBidi" w:cstheme="majorBidi"/>
                <w:b/>
                <w:bCs/>
                <w:sz w:val="20"/>
                <w:szCs w:val="20"/>
              </w:rPr>
              <w:t>No.</w:t>
            </w:r>
          </w:p>
        </w:tc>
        <w:tc>
          <w:tcPr>
            <w:tcW w:w="1701" w:type="dxa"/>
            <w:shd w:val="clear" w:color="auto" w:fill="DEEAF6" w:themeFill="accent1" w:themeFillTint="33"/>
          </w:tcPr>
          <w:p w:rsidR="00936451" w:rsidRPr="00B317D4" w:rsidRDefault="00936451" w:rsidP="00B317D4">
            <w:pPr>
              <w:rPr>
                <w:rFonts w:asciiTheme="majorBidi" w:hAnsiTheme="majorBidi" w:cstheme="majorBidi"/>
                <w:b/>
                <w:bCs/>
                <w:sz w:val="20"/>
                <w:szCs w:val="20"/>
              </w:rPr>
            </w:pPr>
            <w:r w:rsidRPr="00B317D4">
              <w:rPr>
                <w:rFonts w:asciiTheme="majorBidi" w:hAnsiTheme="majorBidi" w:cstheme="majorBidi"/>
                <w:b/>
                <w:bCs/>
                <w:sz w:val="20"/>
                <w:szCs w:val="20"/>
              </w:rPr>
              <w:t>Analyzed Aspects</w:t>
            </w:r>
          </w:p>
        </w:tc>
        <w:tc>
          <w:tcPr>
            <w:tcW w:w="6753" w:type="dxa"/>
            <w:shd w:val="clear" w:color="auto" w:fill="DEEAF6" w:themeFill="accent1" w:themeFillTint="33"/>
          </w:tcPr>
          <w:p w:rsidR="00936451" w:rsidRPr="00B317D4" w:rsidRDefault="00936451" w:rsidP="00B317D4">
            <w:pPr>
              <w:rPr>
                <w:rFonts w:asciiTheme="majorBidi" w:hAnsiTheme="majorBidi" w:cstheme="majorBidi"/>
                <w:b/>
                <w:bCs/>
                <w:sz w:val="20"/>
                <w:szCs w:val="20"/>
              </w:rPr>
            </w:pPr>
            <w:r w:rsidRPr="00B317D4">
              <w:rPr>
                <w:rFonts w:asciiTheme="majorBidi" w:hAnsiTheme="majorBidi" w:cstheme="majorBidi"/>
                <w:b/>
                <w:bCs/>
                <w:sz w:val="20"/>
                <w:szCs w:val="20"/>
              </w:rPr>
              <w:t>Indicator</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1</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Leadership</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of someone who is able to organize, direct others, powerful, and has the ability to actuate.</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2</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Independence</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that can accomplish tasks without needing help from others.</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3</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Dare to Take Risks</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of someone who dares to act and faces all of the consequences that arise thereafter.</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4</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Orientation to The Action</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A person’s attitude and behavior to better show the effort that can be done in other words is able to take the initiative.</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lastRenderedPageBreak/>
              <w:t>5</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Hard Work</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that show sincerity and seriousness in overcoming something.</w:t>
            </w:r>
          </w:p>
        </w:tc>
      </w:tr>
    </w:tbl>
    <w:p w:rsidR="00936451" w:rsidRPr="00B317D4" w:rsidRDefault="00936451" w:rsidP="00B317D4">
      <w:pPr>
        <w:spacing w:after="0" w:line="240" w:lineRule="auto"/>
        <w:jc w:val="both"/>
        <w:rPr>
          <w:rFonts w:asciiTheme="majorBidi" w:hAnsiTheme="majorBidi" w:cstheme="majorBidi"/>
          <w:b/>
          <w:bCs/>
          <w:sz w:val="20"/>
          <w:szCs w:val="20"/>
        </w:rPr>
      </w:pPr>
      <w:r w:rsidRPr="00B317D4">
        <w:rPr>
          <w:rFonts w:asciiTheme="majorBidi" w:hAnsiTheme="majorBidi" w:cstheme="majorBidi"/>
          <w:b/>
          <w:bCs/>
          <w:sz w:val="20"/>
          <w:szCs w:val="20"/>
        </w:rPr>
        <w:t>Source of Criticism</w:t>
      </w:r>
    </w:p>
    <w:p w:rsidR="00B317D4" w:rsidRDefault="006C39D7" w:rsidP="00B317D4">
      <w:pPr>
        <w:spacing w:after="0" w:line="240" w:lineRule="auto"/>
        <w:ind w:firstLine="720"/>
        <w:jc w:val="both"/>
        <w:rPr>
          <w:rFonts w:asciiTheme="majorBidi" w:hAnsiTheme="majorBidi" w:cstheme="majorBidi"/>
          <w:sz w:val="20"/>
          <w:szCs w:val="20"/>
        </w:rPr>
      </w:pPr>
      <w:r>
        <w:rPr>
          <w:rFonts w:asciiTheme="majorBidi" w:hAnsiTheme="majorBidi" w:cstheme="majorBidi"/>
          <w:sz w:val="20"/>
          <w:szCs w:val="20"/>
        </w:rPr>
        <w:t xml:space="preserve">Kuntowijoyo </w:t>
      </w:r>
      <w:r w:rsidR="00936451" w:rsidRPr="00B317D4">
        <w:rPr>
          <w:rFonts w:asciiTheme="majorBidi" w:hAnsiTheme="majorBidi" w:cstheme="majorBidi"/>
          <w:sz w:val="20"/>
          <w:szCs w:val="20"/>
        </w:rPr>
        <w:t xml:space="preserve">explained further that source of criticism is an activity that includes testing, evaluating, and selecting sources collected to obtain original sources. </w:t>
      </w:r>
      <w:r w:rsidR="00936451" w:rsidRPr="00B317D4">
        <w:rPr>
          <w:rFonts w:asciiTheme="majorBidi" w:hAnsiTheme="majorBidi" w:cstheme="majorBidi"/>
          <w:sz w:val="20"/>
          <w:szCs w:val="20"/>
          <w:lang w:val="en"/>
        </w:rPr>
        <w:t>Investigation activities to test whether the sources obtained in the heuristic stage can be used in the research that we do or not to find truth in history, but the process of finding facts that are close to the truth, which is true, not true, or impossible. The source criticism consisted of external and internal criticism.</w:t>
      </w:r>
      <w:r w:rsidR="00936451" w:rsidRPr="00B317D4">
        <w:rPr>
          <w:rFonts w:asciiTheme="majorBidi" w:hAnsiTheme="majorBidi" w:cstheme="majorBidi"/>
          <w:sz w:val="20"/>
          <w:szCs w:val="20"/>
        </w:rPr>
        <w:t xml:space="preserve"> External critisism is testing of data obtained based on time. Source of criticism has the aim to test the authenticity of the data source by comparing it with other sources. The things tested in this external criticism can refer to 5W 1H. The way is by examining the physical form or external aspects from the source used</w:t>
      </w:r>
      <w:r>
        <w:rPr>
          <w:rFonts w:asciiTheme="majorBidi" w:hAnsiTheme="majorBidi" w:cstheme="majorBidi"/>
          <w:sz w:val="20"/>
          <w:szCs w:val="20"/>
        </w:rPr>
        <w:t xml:space="preserve"> [7]</w:t>
      </w:r>
      <w:r w:rsidR="00936451" w:rsidRPr="00B317D4">
        <w:rPr>
          <w:rFonts w:asciiTheme="majorBidi" w:hAnsiTheme="majorBidi" w:cstheme="majorBidi"/>
          <w:sz w:val="20"/>
          <w:szCs w:val="20"/>
        </w:rPr>
        <w:t>.</w:t>
      </w:r>
    </w:p>
    <w:p w:rsidR="00936451" w:rsidRP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While internal criticism is testing data based on the quality, form, credibility of the data. It means that internal criticism actually refers to the physical aspects of the data. In addition, in order for the source to be credible, it must be believed that the chosen source does indeed contain information that shows important events that are widely known to the wider community. Kuntowijoyo explained that the verification carried out really need accuracy, caution, and focus of the researchers themselves. The data collected can be verified valid, both in terms of content and physical by paying attention to internal and external aspects in accordance with the verification carried out.</w:t>
      </w:r>
    </w:p>
    <w:p w:rsidR="00936451" w:rsidRPr="00B317D4" w:rsidRDefault="00936451" w:rsidP="00B317D4">
      <w:pPr>
        <w:spacing w:after="0" w:line="240" w:lineRule="auto"/>
        <w:jc w:val="both"/>
        <w:rPr>
          <w:rFonts w:asciiTheme="majorBidi" w:hAnsiTheme="majorBidi" w:cstheme="majorBidi"/>
          <w:b/>
          <w:bCs/>
          <w:sz w:val="20"/>
          <w:szCs w:val="20"/>
        </w:rPr>
      </w:pPr>
      <w:r w:rsidRPr="00B317D4">
        <w:rPr>
          <w:rFonts w:asciiTheme="majorBidi" w:hAnsiTheme="majorBidi" w:cstheme="majorBidi"/>
          <w:b/>
          <w:bCs/>
          <w:sz w:val="20"/>
          <w:szCs w:val="20"/>
        </w:rPr>
        <w:t>Data Analysis Technique</w:t>
      </w:r>
    </w:p>
    <w:p w:rsidR="00936451" w:rsidRP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Interpretation is the stage where researcher begins to translate or explain the data obtained after criticizing the source. Interpretation is often divided into two stages, namely analysis and synthesis</w:t>
      </w:r>
      <w:r w:rsidR="006C39D7">
        <w:rPr>
          <w:rFonts w:asciiTheme="majorBidi" w:hAnsiTheme="majorBidi" w:cstheme="majorBidi"/>
          <w:sz w:val="20"/>
          <w:szCs w:val="20"/>
        </w:rPr>
        <w:t xml:space="preserve"> [8]</w:t>
      </w:r>
      <w:r w:rsidRPr="00B317D4">
        <w:rPr>
          <w:rFonts w:asciiTheme="majorBidi" w:hAnsiTheme="majorBidi" w:cstheme="majorBidi"/>
          <w:sz w:val="20"/>
          <w:szCs w:val="20"/>
        </w:rPr>
        <w:t>. Analysis more refers to the data collected which is described in general then spesifically. It is complex so the other aspects can also be included in it. While synthesis is the process of bringing together analyzes from historical sources in order to achieve r</w:t>
      </w:r>
      <w:r w:rsidR="006C39D7">
        <w:rPr>
          <w:rFonts w:asciiTheme="majorBidi" w:hAnsiTheme="majorBidi" w:cstheme="majorBidi"/>
          <w:sz w:val="20"/>
          <w:szCs w:val="20"/>
        </w:rPr>
        <w:t xml:space="preserve">esearch objectives. Helius Sjamsudddin </w:t>
      </w:r>
      <w:r w:rsidRPr="00B317D4">
        <w:rPr>
          <w:rFonts w:asciiTheme="majorBidi" w:hAnsiTheme="majorBidi" w:cstheme="majorBidi"/>
          <w:sz w:val="20"/>
          <w:szCs w:val="20"/>
        </w:rPr>
        <w:t>explained further that the process of interpretation really need heurmenetics and verstehen.</w:t>
      </w:r>
    </w:p>
    <w:p w:rsidR="007C6ECA" w:rsidRDefault="00936451" w:rsidP="007C6ECA">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It can greatly affect the researchers because the aspects of the value that will be formulated can not be separated from the background and behavior of the researchers themselves. It means that in conducting this stage, researchers must be able to identify well, be objective, and fair without having any tendencies in their research. Hermeneutics can be used by researchers to develop creativity and openness so it can obtain a fuller understanding.</w:t>
      </w:r>
      <w:r w:rsidR="00B317D4">
        <w:rPr>
          <w:rFonts w:asciiTheme="majorBidi" w:hAnsiTheme="majorBidi" w:cstheme="majorBidi"/>
          <w:sz w:val="20"/>
          <w:szCs w:val="20"/>
        </w:rPr>
        <w:t xml:space="preserve"> </w:t>
      </w:r>
      <w:r w:rsidRPr="00B317D4">
        <w:rPr>
          <w:rFonts w:asciiTheme="majorBidi" w:hAnsiTheme="majorBidi" w:cstheme="majorBidi"/>
          <w:sz w:val="20"/>
          <w:szCs w:val="20"/>
        </w:rPr>
        <w:t xml:space="preserve">Verstehen is implemented to revive or re-project the experience of other subjects so that the subject can be the object of research. These data finally reached a conclusion </w:t>
      </w:r>
      <w:r w:rsidR="006C39D7">
        <w:rPr>
          <w:rFonts w:asciiTheme="majorBidi" w:hAnsiTheme="majorBidi" w:cstheme="majorBidi"/>
          <w:sz w:val="20"/>
          <w:szCs w:val="20"/>
        </w:rPr>
        <w:t>[9].</w:t>
      </w:r>
    </w:p>
    <w:p w:rsidR="007C6ECA" w:rsidRDefault="007C6ECA" w:rsidP="007C6ECA">
      <w:pPr>
        <w:spacing w:after="0" w:line="240" w:lineRule="auto"/>
        <w:ind w:firstLine="720"/>
        <w:jc w:val="both"/>
        <w:rPr>
          <w:rFonts w:asciiTheme="majorBidi" w:hAnsiTheme="majorBidi" w:cstheme="majorBidi"/>
          <w:sz w:val="20"/>
          <w:szCs w:val="20"/>
        </w:rPr>
      </w:pPr>
    </w:p>
    <w:p w:rsidR="00B317D4" w:rsidRPr="007C6ECA" w:rsidRDefault="00936451" w:rsidP="007C6ECA">
      <w:pPr>
        <w:pStyle w:val="ListParagraph"/>
        <w:numPr>
          <w:ilvl w:val="0"/>
          <w:numId w:val="1"/>
        </w:numPr>
        <w:spacing w:after="0" w:line="240" w:lineRule="auto"/>
        <w:ind w:left="360"/>
        <w:jc w:val="both"/>
        <w:rPr>
          <w:rFonts w:asciiTheme="majorBidi" w:hAnsiTheme="majorBidi" w:cstheme="majorBidi"/>
          <w:sz w:val="20"/>
          <w:szCs w:val="20"/>
        </w:rPr>
      </w:pPr>
      <w:r w:rsidRPr="007C6ECA">
        <w:rPr>
          <w:rFonts w:asciiTheme="majorBidi" w:hAnsiTheme="majorBidi" w:cstheme="majorBidi"/>
          <w:b/>
          <w:bCs/>
          <w:sz w:val="20"/>
          <w:szCs w:val="20"/>
        </w:rPr>
        <w:t>RESEARCH</w:t>
      </w:r>
      <w:r w:rsidR="0048087B">
        <w:rPr>
          <w:rFonts w:asciiTheme="majorBidi" w:hAnsiTheme="majorBidi" w:cstheme="majorBidi"/>
          <w:b/>
          <w:bCs/>
          <w:sz w:val="20"/>
          <w:szCs w:val="20"/>
        </w:rPr>
        <w:t xml:space="preserve"> AND DISCUSSION</w:t>
      </w:r>
    </w:p>
    <w:p w:rsidR="00B317D4" w:rsidRDefault="00B317D4" w:rsidP="00B317D4">
      <w:pPr>
        <w:spacing w:after="0" w:line="240" w:lineRule="auto"/>
        <w:jc w:val="both"/>
        <w:rPr>
          <w:rFonts w:asciiTheme="majorBidi" w:hAnsiTheme="majorBidi" w:cstheme="majorBidi"/>
          <w:sz w:val="20"/>
          <w:szCs w:val="20"/>
        </w:rPr>
      </w:pPr>
    </w:p>
    <w:p w:rsidR="00B317D4" w:rsidRDefault="00936451" w:rsidP="00B317D4">
      <w:pPr>
        <w:spacing w:after="0" w:line="240" w:lineRule="auto"/>
        <w:ind w:firstLine="720"/>
        <w:jc w:val="both"/>
        <w:rPr>
          <w:rFonts w:asciiTheme="majorBidi" w:hAnsiTheme="majorBidi" w:cstheme="majorBidi"/>
          <w:b/>
          <w:bCs/>
          <w:sz w:val="20"/>
          <w:szCs w:val="20"/>
        </w:rPr>
      </w:pPr>
      <w:r w:rsidRPr="00B317D4">
        <w:rPr>
          <w:rFonts w:asciiTheme="majorBidi" w:hAnsiTheme="majorBidi" w:cstheme="majorBidi"/>
          <w:sz w:val="20"/>
          <w:szCs w:val="20"/>
        </w:rPr>
        <w:t>Oemar Said Tjokroaminoto was born in Bakur Village, Madiun, East Java on August 16, 1882. Oemar Said is a name that commonly used since his childhood, later better known as Tjokroaminoto</w:t>
      </w:r>
      <w:r w:rsidR="00617703">
        <w:rPr>
          <w:rFonts w:asciiTheme="majorBidi" w:hAnsiTheme="majorBidi" w:cstheme="majorBidi"/>
          <w:sz w:val="20"/>
          <w:szCs w:val="20"/>
        </w:rPr>
        <w:t xml:space="preserve"> </w:t>
      </w:r>
      <w:r w:rsidR="006C39D7">
        <w:rPr>
          <w:rFonts w:asciiTheme="majorBidi" w:hAnsiTheme="majorBidi" w:cstheme="majorBidi"/>
          <w:sz w:val="20"/>
          <w:szCs w:val="20"/>
        </w:rPr>
        <w:t>[10]</w:t>
      </w:r>
      <w:r w:rsidRPr="00B317D4">
        <w:rPr>
          <w:rFonts w:asciiTheme="majorBidi" w:hAnsiTheme="majorBidi" w:cstheme="majorBidi"/>
          <w:sz w:val="20"/>
          <w:szCs w:val="20"/>
        </w:rPr>
        <w:t>. Tjokro has a lineage of clerics and nobles at the same time, from his great-grandfather who is a great scholar, Kyai Bagus Kasan Besar. His grandfather was married to the princess of the Surakarta Palace, who is the daughter of Susuhunan Paku Buwono III. Islamic-javanese noble blood is very</w:t>
      </w:r>
      <w:bookmarkStart w:id="0" w:name="_GoBack"/>
      <w:bookmarkEnd w:id="0"/>
      <w:r w:rsidRPr="00B317D4">
        <w:rPr>
          <w:rFonts w:asciiTheme="majorBidi" w:hAnsiTheme="majorBidi" w:cstheme="majorBidi"/>
          <w:sz w:val="20"/>
          <w:szCs w:val="20"/>
        </w:rPr>
        <w:t xml:space="preserve"> thick in Tjokroaminoto and his family</w:t>
      </w:r>
      <w:r w:rsidR="00617703">
        <w:rPr>
          <w:rFonts w:asciiTheme="majorBidi" w:hAnsiTheme="majorBidi" w:cstheme="majorBidi"/>
          <w:sz w:val="20"/>
          <w:szCs w:val="20"/>
        </w:rPr>
        <w:t xml:space="preserve"> </w:t>
      </w:r>
      <w:r w:rsidR="006C39D7">
        <w:rPr>
          <w:rFonts w:asciiTheme="majorBidi" w:hAnsiTheme="majorBidi" w:cstheme="majorBidi"/>
          <w:sz w:val="20"/>
          <w:szCs w:val="20"/>
        </w:rPr>
        <w:t>[11]</w:t>
      </w:r>
      <w:r w:rsidRPr="00B317D4">
        <w:rPr>
          <w:rFonts w:asciiTheme="majorBidi" w:hAnsiTheme="majorBidi" w:cstheme="majorBidi"/>
          <w:sz w:val="20"/>
          <w:szCs w:val="20"/>
        </w:rPr>
        <w:t>.</w:t>
      </w:r>
      <w:r w:rsidR="00B317D4">
        <w:rPr>
          <w:rFonts w:asciiTheme="majorBidi" w:hAnsiTheme="majorBidi" w:cstheme="majorBidi"/>
          <w:b/>
          <w:bCs/>
          <w:sz w:val="20"/>
          <w:szCs w:val="20"/>
        </w:rPr>
        <w:t xml:space="preserve"> </w:t>
      </w:r>
      <w:r w:rsidRPr="00B317D4">
        <w:rPr>
          <w:rFonts w:asciiTheme="majorBidi" w:hAnsiTheme="majorBidi" w:cstheme="majorBidi"/>
          <w:sz w:val="20"/>
          <w:szCs w:val="20"/>
        </w:rPr>
        <w:t xml:space="preserve">Tjokroaminoto’s </w:t>
      </w:r>
      <w:r w:rsidRPr="00B317D4">
        <w:rPr>
          <w:rFonts w:asciiTheme="majorBidi" w:hAnsiTheme="majorBidi" w:cstheme="majorBidi"/>
          <w:sz w:val="20"/>
          <w:szCs w:val="20"/>
        </w:rPr>
        <w:lastRenderedPageBreak/>
        <w:t>grandfather, Tjokronegoro, is a Regent of Ponorogo. Ponorogo is one of the places where the conflicts often occur. At that time, Tjokronegoro was respected by the community and considered as a leader who brought safety and prosperity. His father, Tjokroamiseno is a Dutch civil servant in Madiun.</w:t>
      </w:r>
    </w:p>
    <w:p w:rsidR="00B317D4" w:rsidRDefault="00936451" w:rsidP="00B317D4">
      <w:pPr>
        <w:spacing w:after="0" w:line="240" w:lineRule="auto"/>
        <w:ind w:firstLine="720"/>
        <w:jc w:val="both"/>
        <w:rPr>
          <w:rFonts w:asciiTheme="majorBidi" w:hAnsiTheme="majorBidi" w:cstheme="majorBidi"/>
          <w:b/>
          <w:bCs/>
          <w:sz w:val="20"/>
          <w:szCs w:val="20"/>
        </w:rPr>
      </w:pPr>
      <w:r w:rsidRPr="00B317D4">
        <w:rPr>
          <w:rFonts w:asciiTheme="majorBidi" w:hAnsiTheme="majorBidi" w:cstheme="majorBidi"/>
          <w:sz w:val="20"/>
          <w:szCs w:val="20"/>
        </w:rPr>
        <w:t xml:space="preserve">He is twelve brothers, they are: </w:t>
      </w:r>
      <w:r w:rsidRPr="00B317D4">
        <w:rPr>
          <w:rFonts w:ascii="Times New Roman" w:hAnsi="Times New Roman"/>
          <w:sz w:val="20"/>
          <w:szCs w:val="20"/>
        </w:rPr>
        <w:t>Raden Mas Oemar Djaman Tjkroprawiro, Raden Mas Oemar Said Tjokroaminoto, Raden Ayu Tjokrodisoerjo, Raden Mas Poerwadi Tjokrosoeprodjo, Raden Mas Oemar Sabib Tjokrosoeprodjo, Raden Ajeng Adiati, Raden Ayu Mamowinoto, Raden Mas Abikoesno Tjokrosoejoso, Raden Ajeng Istingatin, Raden Mas Poewoto, Raden Adjeng Istidja Tjokrosoedarmo, and Raden Ayu Istirah Mohammad Soebari</w:t>
      </w:r>
      <w:r w:rsidR="00617703">
        <w:rPr>
          <w:rFonts w:ascii="Times New Roman" w:hAnsi="Times New Roman"/>
          <w:sz w:val="20"/>
          <w:szCs w:val="20"/>
        </w:rPr>
        <w:t xml:space="preserve"> </w:t>
      </w:r>
      <w:r w:rsidR="006C39D7">
        <w:rPr>
          <w:rFonts w:ascii="Times New Roman" w:hAnsi="Times New Roman"/>
          <w:sz w:val="20"/>
          <w:szCs w:val="20"/>
        </w:rPr>
        <w:t>[12]</w:t>
      </w:r>
      <w:r w:rsidRPr="00B317D4">
        <w:rPr>
          <w:rFonts w:ascii="Times New Roman" w:hAnsi="Times New Roman"/>
          <w:sz w:val="20"/>
          <w:szCs w:val="20"/>
        </w:rPr>
        <w:t xml:space="preserve">. Many of Tjokroaminoto’s siblings followed in the footsteps of his father and grandfather as civil servants in various regions, but there were some of his siblings who followed in the footsteps of Tjokro in the national movement namely Oemar Sabib and Abikoesno Tjokrosoejoso. </w:t>
      </w:r>
    </w:p>
    <w:p w:rsidR="00B317D4" w:rsidRDefault="00936451" w:rsidP="00B317D4">
      <w:pPr>
        <w:spacing w:after="0" w:line="240" w:lineRule="auto"/>
        <w:ind w:firstLine="720"/>
        <w:jc w:val="both"/>
        <w:rPr>
          <w:rFonts w:asciiTheme="majorBidi" w:hAnsiTheme="majorBidi" w:cstheme="majorBidi"/>
          <w:b/>
          <w:bCs/>
          <w:sz w:val="20"/>
          <w:szCs w:val="20"/>
        </w:rPr>
      </w:pPr>
      <w:r w:rsidRPr="00B317D4">
        <w:rPr>
          <w:rFonts w:ascii="Times New Roman" w:hAnsi="Times New Roman"/>
          <w:sz w:val="20"/>
          <w:szCs w:val="20"/>
        </w:rPr>
        <w:t>In 1902, Tjokroaminoto married a royal descent, Raden Ayu Soeharsikin. She is a daughter of Raden Mas Mangoensoemo, the vice regent of Ponorogo. His marriage to R.A. Soeharsikin was blessed with five children namely Siti Oetari (later becoming Sukarno's wife), Oetarjo aka Anwar, Harsono aka Moestafa Kamil, S</w:t>
      </w:r>
      <w:r w:rsidR="006C39D7">
        <w:rPr>
          <w:rFonts w:ascii="Times New Roman" w:hAnsi="Times New Roman"/>
          <w:sz w:val="20"/>
          <w:szCs w:val="20"/>
        </w:rPr>
        <w:t xml:space="preserve">iti Islamijah and Soejar Ahmad [13]. </w:t>
      </w:r>
      <w:r w:rsidRPr="00B317D4">
        <w:rPr>
          <w:rFonts w:ascii="Times New Roman" w:hAnsi="Times New Roman"/>
          <w:sz w:val="20"/>
          <w:szCs w:val="20"/>
        </w:rPr>
        <w:t>Soeharsikin was an important and influential figure for Tjokroaminoto's personality, although in its development there was a conflict between Tjokro and his parents-in-law, but it did not affect the harmony of Tjokro and Soeharsikin's relationship.</w:t>
      </w:r>
    </w:p>
    <w:p w:rsidR="00936451" w:rsidRPr="00B317D4" w:rsidRDefault="00936451" w:rsidP="00B317D4">
      <w:pPr>
        <w:spacing w:after="0" w:line="240" w:lineRule="auto"/>
        <w:ind w:firstLine="720"/>
        <w:jc w:val="both"/>
        <w:rPr>
          <w:rFonts w:asciiTheme="majorBidi" w:hAnsiTheme="majorBidi" w:cstheme="majorBidi"/>
          <w:b/>
          <w:bCs/>
          <w:sz w:val="20"/>
          <w:szCs w:val="20"/>
        </w:rPr>
      </w:pPr>
      <w:r w:rsidRPr="00B317D4">
        <w:rPr>
          <w:rFonts w:asciiTheme="majorBidi" w:hAnsiTheme="majorBidi" w:cstheme="majorBidi"/>
          <w:sz w:val="20"/>
          <w:szCs w:val="20"/>
        </w:rPr>
        <w:t>In 1897 Tjokroaminoto finished his school at the elementary level of a Dutch school. In here Tjokroaminoto could master Dutch quite well. Raden Mas Tirtoamiseno put Tjokroaminoto in OSVIA (</w:t>
      </w:r>
      <w:r w:rsidRPr="00B317D4">
        <w:rPr>
          <w:rFonts w:asciiTheme="majorBidi" w:hAnsiTheme="majorBidi" w:cstheme="majorBidi"/>
          <w:i/>
          <w:iCs/>
          <w:sz w:val="20"/>
          <w:szCs w:val="20"/>
        </w:rPr>
        <w:t>Opleiding School voor Indlandsche Ambtenaren</w:t>
      </w:r>
      <w:r w:rsidRPr="00B317D4">
        <w:rPr>
          <w:rFonts w:asciiTheme="majorBidi" w:hAnsiTheme="majorBidi" w:cstheme="majorBidi"/>
          <w:sz w:val="20"/>
          <w:szCs w:val="20"/>
        </w:rPr>
        <w:t xml:space="preserve">), which is a school for prospective government employees for native Indonesian located in Magelang, Central Java. Tjokroaminoto was schooled there to become a government employee or </w:t>
      </w:r>
      <w:r w:rsidRPr="00B317D4">
        <w:rPr>
          <w:rFonts w:asciiTheme="majorBidi" w:hAnsiTheme="majorBidi" w:cstheme="majorBidi"/>
          <w:i/>
          <w:iCs/>
          <w:sz w:val="20"/>
          <w:szCs w:val="20"/>
        </w:rPr>
        <w:t>Binnenland Bestuur</w:t>
      </w:r>
      <w:r w:rsidRPr="00B317D4">
        <w:rPr>
          <w:rFonts w:asciiTheme="majorBidi" w:hAnsiTheme="majorBidi" w:cstheme="majorBidi"/>
          <w:sz w:val="20"/>
          <w:szCs w:val="20"/>
        </w:rPr>
        <w:t xml:space="preserve"> (BB). This is naturally done by noble parents who used to put their children into OSVIA</w:t>
      </w:r>
      <w:r w:rsidR="00617703">
        <w:rPr>
          <w:rFonts w:asciiTheme="majorBidi" w:hAnsiTheme="majorBidi" w:cstheme="majorBidi"/>
          <w:sz w:val="20"/>
          <w:szCs w:val="20"/>
        </w:rPr>
        <w:t xml:space="preserve"> </w:t>
      </w:r>
      <w:r w:rsidR="006C39D7">
        <w:rPr>
          <w:rFonts w:asciiTheme="majorBidi" w:hAnsiTheme="majorBidi" w:cstheme="majorBidi"/>
          <w:sz w:val="20"/>
          <w:szCs w:val="20"/>
        </w:rPr>
        <w:t>[14]</w:t>
      </w:r>
      <w:r w:rsidRPr="00B317D4">
        <w:rPr>
          <w:rFonts w:asciiTheme="majorBidi" w:hAnsiTheme="majorBidi" w:cstheme="majorBidi"/>
          <w:sz w:val="20"/>
          <w:szCs w:val="20"/>
        </w:rPr>
        <w:t>. Those parents hoped that their children have a guaranteed future by being a civil servant. That’s why OSVIA became a school that was coveted by the parents with noble background.</w:t>
      </w:r>
    </w:p>
    <w:p w:rsidR="00936451" w:rsidRPr="00B317D4" w:rsidRDefault="00936451" w:rsidP="00B317D4">
      <w:pPr>
        <w:spacing w:after="0" w:line="240" w:lineRule="auto"/>
        <w:rPr>
          <w:rFonts w:asciiTheme="majorBidi" w:hAnsiTheme="majorBidi" w:cstheme="majorBidi"/>
          <w:b/>
          <w:bCs/>
          <w:sz w:val="20"/>
          <w:szCs w:val="20"/>
        </w:rPr>
      </w:pPr>
      <w:r w:rsidRPr="00B317D4">
        <w:rPr>
          <w:rFonts w:asciiTheme="majorBidi" w:hAnsiTheme="majorBidi" w:cstheme="majorBidi"/>
          <w:b/>
          <w:bCs/>
          <w:sz w:val="20"/>
          <w:szCs w:val="20"/>
        </w:rPr>
        <w:t>Role of Tjokro in Indonesia's Historical Path</w:t>
      </w:r>
    </w:p>
    <w:p w:rsid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Haji Samanhudi asked Tjokroaminoto to act as a compiler of his trade group organization, so that his organization could be legalized by the Netherlands Indies Governm</w:t>
      </w:r>
      <w:r w:rsidR="006C39D7">
        <w:rPr>
          <w:rFonts w:asciiTheme="majorBidi" w:hAnsiTheme="majorBidi" w:cstheme="majorBidi"/>
          <w:sz w:val="20"/>
          <w:szCs w:val="20"/>
        </w:rPr>
        <w:t>ent</w:t>
      </w:r>
      <w:r w:rsidR="00617703">
        <w:rPr>
          <w:rFonts w:asciiTheme="majorBidi" w:hAnsiTheme="majorBidi" w:cstheme="majorBidi"/>
          <w:sz w:val="20"/>
          <w:szCs w:val="20"/>
        </w:rPr>
        <w:t xml:space="preserve"> </w:t>
      </w:r>
      <w:r w:rsidR="006C39D7">
        <w:rPr>
          <w:rFonts w:asciiTheme="majorBidi" w:hAnsiTheme="majorBidi" w:cstheme="majorBidi"/>
          <w:sz w:val="20"/>
          <w:szCs w:val="20"/>
        </w:rPr>
        <w:t xml:space="preserve">[15]. </w:t>
      </w:r>
      <w:r w:rsidRPr="00B317D4">
        <w:rPr>
          <w:rFonts w:asciiTheme="majorBidi" w:hAnsiTheme="majorBidi" w:cstheme="majorBidi"/>
          <w:sz w:val="20"/>
          <w:szCs w:val="20"/>
        </w:rPr>
        <w:t xml:space="preserve"> Tjokroaminoto agreed and then made a legal deed for a new organization called Sarekat Islam. The legal deed was made in his own name on September 10, 1912. Thus the SI was formally established. SI was a successful organization in the Dutch East Indies at the beginning of the national revival.</w:t>
      </w:r>
    </w:p>
    <w:p w:rsid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 xml:space="preserve">The change of the name SDI to SI had a membership goal that was not only intended for traders, but was expanded to cover all community activities. Tjokro replaced H. Samanhudi as a SI leader </w:t>
      </w:r>
      <w:r w:rsidRPr="00B317D4">
        <w:rPr>
          <w:rFonts w:asciiTheme="majorBidi" w:hAnsiTheme="majorBidi" w:cstheme="majorBidi"/>
          <w:sz w:val="20"/>
          <w:szCs w:val="20"/>
          <w:lang w:val="en"/>
        </w:rPr>
        <w:t>at the SI congress in</w:t>
      </w:r>
      <w:r w:rsidR="006C39D7">
        <w:rPr>
          <w:rFonts w:asciiTheme="majorBidi" w:hAnsiTheme="majorBidi" w:cstheme="majorBidi"/>
          <w:sz w:val="20"/>
          <w:szCs w:val="20"/>
          <w:lang w:val="en"/>
        </w:rPr>
        <w:t xml:space="preserve"> Yogyakarta on 18 February 1914. </w:t>
      </w:r>
      <w:r w:rsidRPr="00B317D4">
        <w:rPr>
          <w:rFonts w:asciiTheme="majorBidi" w:hAnsiTheme="majorBidi" w:cstheme="majorBidi"/>
          <w:sz w:val="20"/>
          <w:szCs w:val="20"/>
          <w:lang w:val="en"/>
        </w:rPr>
        <w:t xml:space="preserve">SI was decided to be an organization that had national reach. </w:t>
      </w:r>
      <w:r w:rsidRPr="00B317D4">
        <w:rPr>
          <w:rFonts w:asciiTheme="majorBidi" w:hAnsiTheme="majorBidi" w:cstheme="majorBidi"/>
          <w:sz w:val="20"/>
          <w:szCs w:val="20"/>
        </w:rPr>
        <w:t>It means</w:t>
      </w:r>
      <w:r w:rsidRPr="00B317D4">
        <w:rPr>
          <w:rFonts w:asciiTheme="majorBidi" w:hAnsiTheme="majorBidi" w:cstheme="majorBidi"/>
          <w:sz w:val="20"/>
          <w:szCs w:val="20"/>
          <w:lang w:val="en"/>
        </w:rPr>
        <w:t xml:space="preserve"> that SI had become an organization that had the largest mass base at that time, with its members and branches</w:t>
      </w:r>
      <w:r w:rsidRPr="00B317D4">
        <w:rPr>
          <w:rFonts w:asciiTheme="majorBidi" w:hAnsiTheme="majorBidi" w:cstheme="majorBidi"/>
          <w:sz w:val="20"/>
          <w:szCs w:val="20"/>
        </w:rPr>
        <w:t xml:space="preserve"> are</w:t>
      </w:r>
      <w:r w:rsidRPr="00B317D4">
        <w:rPr>
          <w:rFonts w:asciiTheme="majorBidi" w:hAnsiTheme="majorBidi" w:cstheme="majorBidi"/>
          <w:sz w:val="20"/>
          <w:szCs w:val="20"/>
          <w:lang w:val="en"/>
        </w:rPr>
        <w:t xml:space="preserve"> all over the Dutch East Indies. SI has a fairly brave step by campaigning Zelfbestuur (self-government) which is inde</w:t>
      </w:r>
      <w:r w:rsidR="006C39D7">
        <w:rPr>
          <w:rFonts w:asciiTheme="majorBidi" w:hAnsiTheme="majorBidi" w:cstheme="majorBidi"/>
          <w:sz w:val="20"/>
          <w:szCs w:val="20"/>
          <w:lang w:val="en"/>
        </w:rPr>
        <w:t xml:space="preserve">pendent of the Dutch Government. </w:t>
      </w:r>
    </w:p>
    <w:p w:rsidR="00B317D4" w:rsidRDefault="00936451" w:rsidP="00B317D4">
      <w:pPr>
        <w:spacing w:after="0" w:line="240" w:lineRule="auto"/>
        <w:ind w:firstLine="720"/>
        <w:jc w:val="both"/>
        <w:rPr>
          <w:rFonts w:asciiTheme="majorBidi" w:hAnsiTheme="majorBidi" w:cstheme="majorBidi"/>
          <w:sz w:val="20"/>
          <w:szCs w:val="20"/>
        </w:rPr>
      </w:pPr>
      <w:r w:rsidRPr="00B317D4">
        <w:rPr>
          <w:rFonts w:ascii="Times New Roman" w:hAnsi="Times New Roman" w:cs="Times New Roman"/>
          <w:sz w:val="20"/>
          <w:szCs w:val="20"/>
          <w:lang w:val="en-GB"/>
        </w:rPr>
        <w:t xml:space="preserve">SI’s willing to form </w:t>
      </w:r>
      <w:r w:rsidRPr="00B317D4">
        <w:rPr>
          <w:rFonts w:ascii="Times New Roman" w:hAnsi="Times New Roman" w:cs="Times New Roman"/>
          <w:i/>
          <w:sz w:val="20"/>
          <w:szCs w:val="20"/>
          <w:lang w:val="en-GB"/>
        </w:rPr>
        <w:t>Zelfbestuur</w:t>
      </w:r>
      <w:r w:rsidRPr="00B317D4">
        <w:rPr>
          <w:rFonts w:ascii="Times New Roman" w:hAnsi="Times New Roman" w:cs="Times New Roman"/>
          <w:sz w:val="20"/>
          <w:szCs w:val="20"/>
          <w:lang w:val="en-GB"/>
        </w:rPr>
        <w:t xml:space="preserve"> is a response against Hindia Belanda Government. SI wanted to be involved and participated in politics. SI wanted to be involved in the making of important decisions in Hindia Belanda. Tjokro wants people of bumiputra gain rights to participate in taking decisions of laws and rules made by Hindia Belanda Go</w:t>
      </w:r>
      <w:r w:rsidR="006C39D7">
        <w:rPr>
          <w:rFonts w:ascii="Times New Roman" w:hAnsi="Times New Roman" w:cs="Times New Roman"/>
          <w:sz w:val="20"/>
          <w:szCs w:val="20"/>
          <w:lang w:val="en-GB"/>
        </w:rPr>
        <w:t>vernment</w:t>
      </w:r>
      <w:r w:rsidR="00617703">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 xml:space="preserve">[16]. </w:t>
      </w:r>
      <w:r w:rsidRPr="00B317D4">
        <w:rPr>
          <w:rFonts w:ascii="Times New Roman" w:hAnsi="Times New Roman" w:cs="Times New Roman"/>
          <w:sz w:val="20"/>
          <w:szCs w:val="20"/>
          <w:lang w:val="en-GB"/>
        </w:rPr>
        <w:t xml:space="preserve">Tjokro is able to bring SI to as a large organization with a lot of mass basis. Agus Salim one of the reasons that SI is </w:t>
      </w:r>
      <w:r w:rsidRPr="00B317D4">
        <w:rPr>
          <w:rFonts w:ascii="Times New Roman" w:hAnsi="Times New Roman" w:cs="Times New Roman"/>
          <w:sz w:val="20"/>
          <w:szCs w:val="20"/>
          <w:lang w:val="en-GB"/>
        </w:rPr>
        <w:lastRenderedPageBreak/>
        <w:t>quickly developing because they offering new idea about nationalism and freedom.</w:t>
      </w:r>
      <w:r w:rsidR="00B317D4">
        <w:rPr>
          <w:rFonts w:asciiTheme="majorBidi" w:hAnsiTheme="majorBidi" w:cstheme="majorBidi"/>
          <w:sz w:val="20"/>
          <w:szCs w:val="20"/>
        </w:rPr>
        <w:t xml:space="preserve"> </w:t>
      </w:r>
      <w:r w:rsidRPr="00B317D4">
        <w:rPr>
          <w:rFonts w:ascii="Times New Roman" w:hAnsi="Times New Roman" w:cs="Times New Roman"/>
          <w:sz w:val="20"/>
          <w:szCs w:val="20"/>
          <w:lang w:val="en-GB"/>
        </w:rPr>
        <w:t>Agus Salim adds that SI was accepted among society because Tjokro’s struggle to gain recognition from Dutch Government</w:t>
      </w:r>
      <w:r w:rsidR="006C39D7">
        <w:rPr>
          <w:rFonts w:ascii="Times New Roman" w:hAnsi="Times New Roman" w:cs="Times New Roman"/>
          <w:sz w:val="20"/>
          <w:szCs w:val="20"/>
          <w:lang w:val="en-GB"/>
        </w:rPr>
        <w:t xml:space="preserve"> [17]</w:t>
      </w:r>
      <w:r w:rsidRPr="00B317D4">
        <w:rPr>
          <w:rFonts w:ascii="Times New Roman" w:hAnsi="Times New Roman" w:cs="Times New Roman"/>
          <w:sz w:val="20"/>
          <w:szCs w:val="20"/>
          <w:lang w:val="en-GB"/>
        </w:rPr>
        <w:t>. But, Hindia Belanda Government still keep their eyes on every movement of SI. SI under Tjokro have massive impact to the society, people hail and idolize Tjokro. In agriculture society, there is a concept of “Ratu Adil”, a presumption about a leader who could lead society to become more prosperous.</w:t>
      </w:r>
    </w:p>
    <w:p w:rsidR="00936451" w:rsidRPr="00B317D4" w:rsidRDefault="00936451" w:rsidP="00B317D4">
      <w:pPr>
        <w:spacing w:after="0" w:line="240" w:lineRule="auto"/>
        <w:ind w:firstLine="720"/>
        <w:jc w:val="both"/>
        <w:rPr>
          <w:rFonts w:asciiTheme="majorBidi" w:hAnsiTheme="majorBidi" w:cstheme="majorBidi"/>
          <w:sz w:val="20"/>
          <w:szCs w:val="20"/>
        </w:rPr>
      </w:pPr>
      <w:r w:rsidRPr="00B317D4">
        <w:rPr>
          <w:rFonts w:ascii="Times New Roman" w:hAnsi="Times New Roman" w:cs="Times New Roman"/>
          <w:sz w:val="20"/>
          <w:szCs w:val="20"/>
          <w:lang w:val="en-GB"/>
        </w:rPr>
        <w:t>Anhar Gongong said that Tjokroaminoto is the first leader that openly stated about foundation of laws in case of people are being given freedom to choose their own status. Tjokroaminoto through SI “asked” the Hindia Belanda Government to give more chances for native Indonesian to create their own government. During the opening of first congress Central Sarekat Islam in 1916, Tjokro stated that he wants to build an independent democratic based government. Democracy in Tjokro’s view have to fit Islam laws. He shows his way of democracy during his leadership in SI.</w:t>
      </w:r>
      <w:r w:rsidR="00B317D4">
        <w:rPr>
          <w:rFonts w:asciiTheme="majorBidi" w:hAnsiTheme="majorBidi" w:cstheme="majorBidi"/>
          <w:sz w:val="20"/>
          <w:szCs w:val="20"/>
        </w:rPr>
        <w:t xml:space="preserve"> </w:t>
      </w:r>
      <w:r w:rsidRPr="00B317D4">
        <w:rPr>
          <w:rFonts w:ascii="Times New Roman" w:hAnsi="Times New Roman" w:cs="Times New Roman"/>
          <w:sz w:val="20"/>
          <w:szCs w:val="20"/>
          <w:lang w:val="en-GB"/>
        </w:rPr>
        <w:t>Friction in SI internals encourage Tjokroaminoto to take action. As a democratic person, he tries to mediate and avoid any future friction in his movement. By initiating “Islam Socialism”, he represents the two sides. The idea later written as a book, “Islam and Socialism” in 1924. One of the main purpose of the book is to explains that Islam have the similar lessons and principle with socialism</w:t>
      </w:r>
      <w:r w:rsidR="00617703">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[18]</w:t>
      </w:r>
      <w:r w:rsidRPr="00B317D4">
        <w:rPr>
          <w:rFonts w:ascii="Times New Roman" w:hAnsi="Times New Roman" w:cs="Times New Roman"/>
          <w:sz w:val="20"/>
          <w:szCs w:val="20"/>
          <w:lang w:val="en-GB"/>
        </w:rPr>
        <w:t>.</w:t>
      </w:r>
    </w:p>
    <w:p w:rsidR="00936451" w:rsidRPr="00B317D4" w:rsidRDefault="00936451" w:rsidP="00B317D4">
      <w:pPr>
        <w:spacing w:after="0" w:line="240" w:lineRule="auto"/>
        <w:ind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Tjokroaminoto’s thought are heavily influenced by educational system of Hindia Belanda Government. Education opportunity are not given for all people of Hindia Belanda. A lot of schools from Hindia Belanda Government didn’t have religion subject, especially Islam. This situation cause Tjokroaminoto to criticize education problems during Hindia Belanda times.</w:t>
      </w:r>
      <w:r w:rsidR="00B317D4">
        <w:rPr>
          <w:rFonts w:ascii="Times New Roman" w:hAnsi="Times New Roman" w:cs="Times New Roman"/>
          <w:sz w:val="20"/>
          <w:szCs w:val="20"/>
          <w:lang w:val="en-GB"/>
        </w:rPr>
        <w:t xml:space="preserve"> </w:t>
      </w:r>
      <w:r w:rsidRPr="00B317D4">
        <w:rPr>
          <w:rFonts w:ascii="Times New Roman" w:hAnsi="Times New Roman" w:cs="Times New Roman"/>
          <w:sz w:val="20"/>
          <w:szCs w:val="20"/>
          <w:lang w:val="en-GB"/>
        </w:rPr>
        <w:t>Tjokroaminoto is taught with education with strong Islam values. Islam became Tjokro’s basis of mindset, acts, and also his view of education</w:t>
      </w:r>
      <w:r w:rsidR="006C39D7">
        <w:rPr>
          <w:rFonts w:ascii="Times New Roman" w:hAnsi="Times New Roman" w:cs="Times New Roman"/>
          <w:sz w:val="20"/>
          <w:szCs w:val="20"/>
          <w:lang w:val="en-GB"/>
        </w:rPr>
        <w:t xml:space="preserve"> [19]</w:t>
      </w:r>
      <w:r w:rsidRPr="00B317D4">
        <w:rPr>
          <w:rFonts w:ascii="Times New Roman" w:hAnsi="Times New Roman" w:cs="Times New Roman"/>
          <w:sz w:val="20"/>
          <w:szCs w:val="20"/>
          <w:lang w:val="en-GB"/>
        </w:rPr>
        <w:t>. Education is the way to elevate someone’s status and prosperity, but education must be checked from its basis. Religion became a strong and important basis in education concept</w:t>
      </w:r>
      <w:r w:rsidR="00617703">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[20]</w:t>
      </w:r>
      <w:r w:rsidRPr="00B317D4">
        <w:rPr>
          <w:rFonts w:ascii="Times New Roman" w:hAnsi="Times New Roman" w:cs="Times New Roman"/>
          <w:sz w:val="20"/>
          <w:szCs w:val="20"/>
          <w:lang w:val="en-GB"/>
        </w:rPr>
        <w:t>. Education system in those schools refers to Tjokroaminoto’s work called Moeslim Nationale Onderwijs, roughly translated as Islam based national teaching method.</w:t>
      </w:r>
    </w:p>
    <w:p w:rsidR="00B317D4" w:rsidRDefault="00B317D4" w:rsidP="00B317D4">
      <w:pPr>
        <w:spacing w:after="0" w:line="240" w:lineRule="auto"/>
        <w:jc w:val="both"/>
        <w:rPr>
          <w:rFonts w:ascii="Times New Roman" w:hAnsi="Times New Roman" w:cs="Times New Roman"/>
          <w:b/>
          <w:sz w:val="20"/>
          <w:szCs w:val="20"/>
          <w:lang w:val="en-GB"/>
        </w:rPr>
      </w:pPr>
    </w:p>
    <w:p w:rsidR="00936451" w:rsidRPr="00B317D4" w:rsidRDefault="00936451" w:rsidP="00B317D4">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b/>
          <w:sz w:val="20"/>
          <w:szCs w:val="20"/>
          <w:lang w:val="en-GB"/>
        </w:rPr>
        <w:t>Heroism Values of Tjokroaminoto</w:t>
      </w:r>
    </w:p>
    <w:p w:rsidR="00936451" w:rsidRPr="00B317D4" w:rsidRDefault="00936451" w:rsidP="00B317D4">
      <w:pPr>
        <w:spacing w:after="0" w:line="240" w:lineRule="auto"/>
        <w:ind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His heroism values are important to study and dug deeply. It’s because his own role in heroism. Studying his heroism equal as studying history of his role and thought. Learning history is a continued social reality and dialogue. Therefore, as explained before, studying history is a sign of historical awareness.</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Leadership</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Tjokroaminoto’s leadership role was seen clearly when he led SI and brought it as a large organization and influential in Hindia Belanda. His ideology about democracy, nationalism, and Islam-socialism became basis of SI movements. Tjokroaminoto able to exceeds his own needs by putting people’s needs first. His leadership are influencing other cadre.</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Independence</w:t>
      </w:r>
    </w:p>
    <w:p w:rsidR="00936451" w:rsidRPr="00B317D4" w:rsidRDefault="00936451" w:rsidP="007C6ECA">
      <w:pPr>
        <w:spacing w:after="0" w:line="240" w:lineRule="auto"/>
        <w:jc w:val="both"/>
        <w:rPr>
          <w:rFonts w:ascii="Times New Roman" w:hAnsi="Times New Roman" w:cs="Times New Roman"/>
          <w:i/>
          <w:sz w:val="20"/>
          <w:szCs w:val="20"/>
          <w:lang w:val="en-GB"/>
        </w:rPr>
      </w:pPr>
      <w:r w:rsidRPr="00B317D4">
        <w:rPr>
          <w:rFonts w:ascii="Times New Roman" w:hAnsi="Times New Roman" w:cs="Times New Roman"/>
          <w:sz w:val="20"/>
          <w:szCs w:val="20"/>
          <w:lang w:val="en-GB"/>
        </w:rPr>
        <w:t>Tjokroaminoto proves that he’s not just Anti-Dutch in his thoughts and acts, but he is willing to abandon his noble title for fighting among people. His independency is taught through SI by demanding freedom and built independent government (</w:t>
      </w:r>
      <w:r w:rsidRPr="00B317D4">
        <w:rPr>
          <w:rFonts w:ascii="Times New Roman" w:hAnsi="Times New Roman" w:cs="Times New Roman"/>
          <w:i/>
          <w:sz w:val="20"/>
          <w:szCs w:val="20"/>
          <w:lang w:val="en-GB"/>
        </w:rPr>
        <w:t>Zelfbestuur).</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Willing to Take Risks</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 xml:space="preserve">Tjokroaminoto took brave big step by changing basis of SI’s ideology to became more political. Tjokroaminoto openly formed people and led them to freedom from Dutch colonialism. During his </w:t>
      </w:r>
      <w:r w:rsidRPr="00B317D4">
        <w:rPr>
          <w:rFonts w:ascii="Times New Roman" w:hAnsi="Times New Roman" w:cs="Times New Roman"/>
          <w:sz w:val="20"/>
          <w:szCs w:val="20"/>
          <w:lang w:val="en-GB"/>
        </w:rPr>
        <w:lastRenderedPageBreak/>
        <w:t>journey when SI have internal clashes, Tjokroaminoto dare to take step and applying organization rules that led to SI’s fraction.</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b/>
          <w:sz w:val="20"/>
          <w:szCs w:val="20"/>
          <w:lang w:val="en-GB"/>
        </w:rPr>
        <w:t>Oriented in Taking Action</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 xml:space="preserve">Ideas, thoughts, opinions from Tjokroaminoto is manifested in real actions. He is a figure that became example for his followers. His idea about education he manifested in </w:t>
      </w:r>
      <w:r w:rsidRPr="00B317D4">
        <w:rPr>
          <w:rFonts w:ascii="Times New Roman" w:hAnsi="Times New Roman" w:cs="Times New Roman"/>
          <w:i/>
          <w:sz w:val="20"/>
          <w:szCs w:val="20"/>
          <w:lang w:val="en-GB"/>
        </w:rPr>
        <w:t>Moeslim National Onderwijs</w:t>
      </w:r>
      <w:r w:rsidRPr="00B317D4">
        <w:rPr>
          <w:rFonts w:ascii="Times New Roman" w:hAnsi="Times New Roman" w:cs="Times New Roman"/>
          <w:sz w:val="20"/>
          <w:szCs w:val="20"/>
          <w:lang w:val="en-GB"/>
        </w:rPr>
        <w:t xml:space="preserve"> as basis of education at that time. His writing about Islam Socialism is a strategic plan. During that time, there are lot of clashes between ideologies. Tjokroaminoto able to do real action to face multiple problems.</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Hard Work</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Tjokroaminoto’s hard work to fulfilled basic needs of his family are shown when he is working at a company and a sugar factory. SI’s growth came from his effort in gaining supports and spreading his ideas. When SI’s fractioned, he also tried everything that he could to avoid it.</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Actualisation of Heroism Values in Education</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Actualisation of Tjokroaminoto’s heroism values in education, especially in history subject is expected to become inspiration for history teacher to build student’s awareness and understanding about lessons from history. Including in studying history’s element which is the person or the figure, its values can be dug up. As for Tjokroaminoto’s heroism values can be taught in history subject in 11</w:t>
      </w:r>
      <w:r w:rsidRPr="00B317D4">
        <w:rPr>
          <w:rFonts w:ascii="Times New Roman" w:hAnsi="Times New Roman" w:cs="Times New Roman"/>
          <w:sz w:val="20"/>
          <w:szCs w:val="20"/>
          <w:vertAlign w:val="superscript"/>
          <w:lang w:val="en-GB"/>
        </w:rPr>
        <w:t>th</w:t>
      </w:r>
      <w:r w:rsidRPr="00B317D4">
        <w:rPr>
          <w:rFonts w:ascii="Times New Roman" w:hAnsi="Times New Roman" w:cs="Times New Roman"/>
          <w:sz w:val="20"/>
          <w:szCs w:val="20"/>
          <w:lang w:val="en-GB"/>
        </w:rPr>
        <w:t xml:space="preserve"> grade in basic competencies 3.6 about role of national heroes and local heroes in Indonesian freedom or it could be taught during topic of History of National Movement.</w:t>
      </w:r>
    </w:p>
    <w:p w:rsidR="007C6ECA" w:rsidRDefault="007C6ECA" w:rsidP="007C6ECA">
      <w:pPr>
        <w:spacing w:after="0" w:line="240" w:lineRule="auto"/>
        <w:jc w:val="both"/>
        <w:rPr>
          <w:rFonts w:ascii="Times New Roman" w:hAnsi="Times New Roman" w:cs="Times New Roman"/>
          <w:b/>
          <w:sz w:val="20"/>
          <w:szCs w:val="20"/>
          <w:lang w:val="en-GB"/>
        </w:rPr>
      </w:pPr>
    </w:p>
    <w:p w:rsidR="007C6ECA" w:rsidRDefault="007C6ECA" w:rsidP="007C6ECA">
      <w:pPr>
        <w:pStyle w:val="ListParagraph"/>
        <w:numPr>
          <w:ilvl w:val="0"/>
          <w:numId w:val="1"/>
        </w:numPr>
        <w:spacing w:after="0" w:line="240" w:lineRule="auto"/>
        <w:ind w:left="360"/>
        <w:jc w:val="both"/>
        <w:rPr>
          <w:rFonts w:ascii="Times New Roman" w:hAnsi="Times New Roman" w:cs="Times New Roman"/>
          <w:b/>
          <w:sz w:val="20"/>
          <w:szCs w:val="20"/>
          <w:lang w:val="en-GB"/>
        </w:rPr>
      </w:pPr>
      <w:r w:rsidRPr="007C6ECA">
        <w:rPr>
          <w:rFonts w:ascii="Times New Roman" w:hAnsi="Times New Roman" w:cs="Times New Roman"/>
          <w:b/>
          <w:sz w:val="20"/>
          <w:szCs w:val="20"/>
          <w:lang w:val="en-GB"/>
        </w:rPr>
        <w:t>CONCLUSION</w:t>
      </w:r>
    </w:p>
    <w:p w:rsidR="007C6ECA" w:rsidRDefault="007C6ECA" w:rsidP="007C6ECA">
      <w:pPr>
        <w:pStyle w:val="ListParagraph"/>
        <w:spacing w:after="0" w:line="240" w:lineRule="auto"/>
        <w:ind w:left="0" w:firstLine="720"/>
        <w:jc w:val="both"/>
        <w:rPr>
          <w:rFonts w:ascii="Times New Roman" w:hAnsi="Times New Roman" w:cs="Times New Roman"/>
          <w:b/>
          <w:sz w:val="20"/>
          <w:szCs w:val="20"/>
          <w:lang w:val="en-GB"/>
        </w:rPr>
      </w:pPr>
    </w:p>
    <w:p w:rsidR="007C6ECA" w:rsidRDefault="00936451" w:rsidP="007C6ECA">
      <w:pPr>
        <w:pStyle w:val="ListParagraph"/>
        <w:spacing w:after="0" w:line="240" w:lineRule="auto"/>
        <w:ind w:left="0" w:firstLine="720"/>
        <w:jc w:val="both"/>
        <w:rPr>
          <w:rFonts w:ascii="Times New Roman" w:hAnsi="Times New Roman" w:cs="Times New Roman"/>
          <w:sz w:val="20"/>
          <w:szCs w:val="20"/>
          <w:lang w:val="en-GB"/>
        </w:rPr>
      </w:pPr>
      <w:r w:rsidRPr="007C6ECA">
        <w:rPr>
          <w:rFonts w:ascii="Times New Roman" w:hAnsi="Times New Roman" w:cs="Times New Roman"/>
          <w:sz w:val="20"/>
          <w:szCs w:val="20"/>
          <w:lang w:val="en-GB"/>
        </w:rPr>
        <w:t xml:space="preserve">Tjokroaminoto grew in a noble family with strong Islam influence. Tjokroaminoto became a figure with great understanding of religion because the influence of his religious family. Tjokroaminoto went to OSVIA, a school built by Hindia Belanda Government that later brought him as a </w:t>
      </w:r>
      <w:r w:rsidRPr="007C6ECA">
        <w:rPr>
          <w:rFonts w:ascii="Times New Roman" w:hAnsi="Times New Roman" w:cs="Times New Roman"/>
          <w:i/>
          <w:sz w:val="20"/>
          <w:szCs w:val="20"/>
          <w:lang w:val="en-GB"/>
        </w:rPr>
        <w:t>pangreh praja</w:t>
      </w:r>
      <w:r w:rsidRPr="007C6ECA">
        <w:rPr>
          <w:rFonts w:ascii="Times New Roman" w:hAnsi="Times New Roman" w:cs="Times New Roman"/>
          <w:sz w:val="20"/>
          <w:szCs w:val="20"/>
          <w:lang w:val="en-GB"/>
        </w:rPr>
        <w:t>. Tjokroaminoto prefers to leave his nobility and also as a Dutch Government official. People’s condition at the time encourage him to stand against Dutch colonialism.</w:t>
      </w:r>
    </w:p>
    <w:p w:rsidR="007C6ECA" w:rsidRDefault="00936451" w:rsidP="007C6ECA">
      <w:pPr>
        <w:pStyle w:val="ListParagraph"/>
        <w:spacing w:after="0" w:line="240" w:lineRule="auto"/>
        <w:ind w:left="0"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 xml:space="preserve">Tjokroaminoto prefers to join </w:t>
      </w:r>
      <w:r w:rsidRPr="00B317D4">
        <w:rPr>
          <w:rFonts w:ascii="Times New Roman" w:hAnsi="Times New Roman" w:cs="Times New Roman"/>
          <w:i/>
          <w:sz w:val="20"/>
          <w:szCs w:val="20"/>
          <w:lang w:val="en-GB"/>
        </w:rPr>
        <w:t>Sarekat Dagang Islam</w:t>
      </w:r>
      <w:r w:rsidRPr="00B317D4">
        <w:rPr>
          <w:rFonts w:ascii="Times New Roman" w:hAnsi="Times New Roman" w:cs="Times New Roman"/>
          <w:sz w:val="20"/>
          <w:szCs w:val="20"/>
          <w:lang w:val="en-GB"/>
        </w:rPr>
        <w:t xml:space="preserve"> as a way for his resistance against colonialism. He was chosen as SI leader and led SI to became the biggest organization in Hindia Belanda and also have a big influence. Islam values become the basis of Tjokroaminoto’s resistance whether it is in politics or education. Tjokroaminoto is able to mix western thoughts and Islam thoughts fitted with society’s condition at that time. He is able to give guidance for his successor in actualizing his dream of independent Indonesia.</w:t>
      </w:r>
    </w:p>
    <w:p w:rsidR="007C6ECA" w:rsidRDefault="00936451" w:rsidP="007C6ECA">
      <w:pPr>
        <w:pStyle w:val="ListParagraph"/>
        <w:spacing w:after="0" w:line="240" w:lineRule="auto"/>
        <w:ind w:left="0"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Studies and analyses about figures with good character, especially history figures could be added more as it can be an inspiration and role model in society. Just like studies about Tjokroaminoto, even though he is a famous political figures and a religious leader, his thoughts, acts, and resistance still relevant with today’s condition.</w:t>
      </w:r>
      <w:r w:rsidR="007C6ECA">
        <w:rPr>
          <w:rFonts w:ascii="Times New Roman" w:hAnsi="Times New Roman" w:cs="Times New Roman"/>
          <w:sz w:val="20"/>
          <w:szCs w:val="20"/>
          <w:lang w:val="en-GB"/>
        </w:rPr>
        <w:t xml:space="preserve"> </w:t>
      </w:r>
      <w:r w:rsidRPr="00B317D4">
        <w:rPr>
          <w:rFonts w:ascii="Times New Roman" w:hAnsi="Times New Roman" w:cs="Times New Roman"/>
          <w:sz w:val="20"/>
          <w:szCs w:val="20"/>
          <w:lang w:val="en-GB"/>
        </w:rPr>
        <w:t>In education point of view, these analyses of heroism values are hoped could give example and inspiration in history learning. Heroism values are expected to give influence to students about figures or heroes with a lot of values to copy. Heroism values could shape an individual, shape their character and morale that they eventually will be able to pick an act or attitude that fit in nation’s life</w:t>
      </w:r>
      <w:r w:rsidR="007C6ECA">
        <w:rPr>
          <w:rFonts w:ascii="Times New Roman" w:hAnsi="Times New Roman" w:cs="Times New Roman"/>
          <w:sz w:val="20"/>
          <w:szCs w:val="20"/>
          <w:lang w:val="en-GB"/>
        </w:rPr>
        <w:t>.</w:t>
      </w: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7C6ECA" w:rsidRDefault="007C6ECA" w:rsidP="007C6ECA">
      <w:pPr>
        <w:pStyle w:val="ListParagraph"/>
        <w:spacing w:after="0" w:line="240" w:lineRule="auto"/>
        <w:ind w:left="0" w:firstLine="720"/>
        <w:jc w:val="both"/>
        <w:rPr>
          <w:rFonts w:ascii="Times New Roman" w:hAnsi="Times New Roman" w:cs="Times New Roman"/>
          <w:sz w:val="20"/>
          <w:szCs w:val="20"/>
          <w:lang w:val="en-GB"/>
        </w:rPr>
      </w:pPr>
    </w:p>
    <w:p w:rsidR="007C6ECA" w:rsidRDefault="007C6ECA" w:rsidP="007C6ECA">
      <w:pPr>
        <w:spacing w:after="0"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REFERENCES</w:t>
      </w:r>
    </w:p>
    <w:p w:rsidR="007C6ECA" w:rsidRDefault="007C6ECA" w:rsidP="007C6ECA">
      <w:pPr>
        <w:spacing w:after="0" w:line="240" w:lineRule="auto"/>
        <w:jc w:val="both"/>
        <w:rPr>
          <w:rFonts w:ascii="Times New Roman" w:hAnsi="Times New Roman" w:cs="Times New Roman"/>
          <w:b/>
          <w:sz w:val="20"/>
          <w:szCs w:val="20"/>
          <w:lang w:val="en-GB"/>
        </w:rPr>
      </w:pPr>
    </w:p>
    <w:p w:rsidR="008B0C9F" w:rsidRPr="00840B88" w:rsidRDefault="008B0C9F" w:rsidP="008B0C9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0"/>
          <w:szCs w:val="20"/>
        </w:rPr>
        <w:t xml:space="preserve">[1] </w:t>
      </w:r>
      <w:r>
        <w:rPr>
          <w:rFonts w:ascii="Times New Roman" w:hAnsi="Times New Roman" w:cs="Times New Roman"/>
          <w:sz w:val="20"/>
          <w:szCs w:val="20"/>
        </w:rPr>
        <w:tab/>
      </w:r>
      <w:r>
        <w:rPr>
          <w:rFonts w:ascii="Times New Roman" w:hAnsi="Times New Roman" w:cs="Times New Roman"/>
          <w:sz w:val="20"/>
          <w:szCs w:val="20"/>
          <w:lang w:val="en-GB"/>
        </w:rPr>
        <w:t xml:space="preserve">Mulyasa, </w:t>
      </w:r>
      <w:r w:rsidRPr="00840B88">
        <w:rPr>
          <w:rFonts w:ascii="Times New Roman" w:hAnsi="Times New Roman" w:cs="Times New Roman"/>
          <w:i/>
          <w:sz w:val="20"/>
          <w:szCs w:val="20"/>
        </w:rPr>
        <w:t>Manajemen Pendidikan Karakter</w:t>
      </w:r>
      <w:r w:rsidRPr="00840B88">
        <w:rPr>
          <w:rFonts w:ascii="Times New Roman" w:hAnsi="Times New Roman" w:cs="Times New Roman"/>
          <w:sz w:val="20"/>
          <w:szCs w:val="20"/>
        </w:rPr>
        <w:t>. Jakarta: Bumi Ak</w:t>
      </w:r>
      <w:r>
        <w:rPr>
          <w:rFonts w:ascii="Times New Roman" w:hAnsi="Times New Roman" w:cs="Times New Roman"/>
          <w:sz w:val="20"/>
          <w:szCs w:val="20"/>
        </w:rPr>
        <w:t>sara, pp. 4-6, 2011.</w:t>
      </w:r>
    </w:p>
    <w:p w:rsidR="008B0C9F" w:rsidRPr="00840B88"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[2] </w:t>
      </w:r>
      <w:r>
        <w:rPr>
          <w:rFonts w:ascii="Times New Roman" w:hAnsi="Times New Roman" w:cs="Times New Roman"/>
          <w:sz w:val="20"/>
          <w:szCs w:val="20"/>
          <w:lang w:val="en-GB"/>
        </w:rPr>
        <w:tab/>
        <w:t xml:space="preserve">K.H. </w:t>
      </w:r>
      <w:r w:rsidRPr="00BE1187">
        <w:rPr>
          <w:rFonts w:ascii="Times New Roman" w:hAnsi="Times New Roman" w:cs="Times New Roman"/>
          <w:sz w:val="20"/>
          <w:szCs w:val="20"/>
          <w:lang w:val="en-GB"/>
        </w:rPr>
        <w:t>Dewantara</w:t>
      </w:r>
      <w:r>
        <w:rPr>
          <w:rFonts w:ascii="Times New Roman" w:hAnsi="Times New Roman" w:cs="Times New Roman"/>
          <w:sz w:val="20"/>
          <w:szCs w:val="20"/>
          <w:lang w:val="en-GB"/>
        </w:rPr>
        <w:t xml:space="preserve">, </w:t>
      </w:r>
      <w:r w:rsidRPr="00840B88">
        <w:rPr>
          <w:rFonts w:ascii="Times New Roman" w:hAnsi="Times New Roman" w:cs="Times New Roman"/>
          <w:i/>
          <w:sz w:val="20"/>
          <w:szCs w:val="20"/>
        </w:rPr>
        <w:t>Karya Ki Hadjar Dewantara, Bagian Pertama: Pendidikan</w:t>
      </w:r>
      <w:r w:rsidRPr="00840B88">
        <w:rPr>
          <w:rFonts w:ascii="Times New Roman" w:hAnsi="Times New Roman" w:cs="Times New Roman"/>
          <w:sz w:val="20"/>
          <w:szCs w:val="20"/>
        </w:rPr>
        <w:t xml:space="preserve">. Yogyakarta: Majelis Luhur Persatuan </w:t>
      </w:r>
      <w:r>
        <w:rPr>
          <w:rFonts w:ascii="Times New Roman" w:hAnsi="Times New Roman" w:cs="Times New Roman"/>
          <w:sz w:val="20"/>
          <w:szCs w:val="20"/>
        </w:rPr>
        <w:t>Tamansiswa, pp. 14-15, 1977.</w:t>
      </w:r>
    </w:p>
    <w:p w:rsidR="008B0C9F" w:rsidRDefault="008B0C9F" w:rsidP="008B0C9F">
      <w:pPr>
        <w:spacing w:after="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[3] </w:t>
      </w:r>
      <w:r>
        <w:rPr>
          <w:rFonts w:ascii="Times New Roman" w:hAnsi="Times New Roman" w:cs="Times New Roman"/>
          <w:sz w:val="20"/>
          <w:szCs w:val="20"/>
          <w:lang w:val="en-GB"/>
        </w:rPr>
        <w:tab/>
      </w:r>
      <w:r w:rsidRPr="00BE1187">
        <w:rPr>
          <w:rFonts w:ascii="Times New Roman" w:hAnsi="Times New Roman" w:cs="Times New Roman"/>
          <w:sz w:val="20"/>
          <w:szCs w:val="20"/>
          <w:lang w:val="en-GB"/>
        </w:rPr>
        <w:t xml:space="preserve">Sardiman, </w:t>
      </w:r>
      <w:r w:rsidRPr="00840B88">
        <w:rPr>
          <w:rFonts w:ascii="Times New Roman" w:hAnsi="Times New Roman" w:cs="Times New Roman"/>
          <w:i/>
          <w:sz w:val="20"/>
          <w:szCs w:val="20"/>
        </w:rPr>
        <w:t>Nilai-Nilai Ketokohan Soed</w:t>
      </w:r>
      <w:r>
        <w:rPr>
          <w:rFonts w:ascii="Times New Roman" w:hAnsi="Times New Roman" w:cs="Times New Roman"/>
          <w:i/>
          <w:sz w:val="20"/>
          <w:szCs w:val="20"/>
        </w:rPr>
        <w:t>irman dan Sumbangannya t</w:t>
      </w:r>
      <w:r w:rsidRPr="00840B88">
        <w:rPr>
          <w:rFonts w:ascii="Times New Roman" w:hAnsi="Times New Roman" w:cs="Times New Roman"/>
          <w:i/>
          <w:sz w:val="20"/>
          <w:szCs w:val="20"/>
        </w:rPr>
        <w:t xml:space="preserve">erhadap Bidang Pendidikan: Sebuah Studi </w:t>
      </w:r>
      <w:r w:rsidRPr="00840B88">
        <w:rPr>
          <w:rFonts w:ascii="Times New Roman" w:hAnsi="Times New Roman" w:cs="Times New Roman"/>
          <w:sz w:val="20"/>
          <w:szCs w:val="20"/>
        </w:rPr>
        <w:t>historis. Disertasi, tidak diterbitkan, Universita</w:t>
      </w:r>
      <w:r>
        <w:rPr>
          <w:rFonts w:ascii="Times New Roman" w:hAnsi="Times New Roman" w:cs="Times New Roman"/>
          <w:sz w:val="20"/>
          <w:szCs w:val="20"/>
        </w:rPr>
        <w:t>s Negeri Yogyakarta, Yogyakarta, pp. 15-16, 2017.</w:t>
      </w:r>
      <w:r>
        <w:rPr>
          <w:rFonts w:ascii="Times New Roman" w:hAnsi="Times New Roman" w:cs="Times New Roman"/>
          <w:sz w:val="20"/>
          <w:szCs w:val="20"/>
          <w:lang w:val="en-GB"/>
        </w:rPr>
        <w:t xml:space="preserve"> </w:t>
      </w:r>
    </w:p>
    <w:p w:rsidR="008B0C9F" w:rsidRPr="00840B88"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[4] </w:t>
      </w:r>
      <w:r>
        <w:rPr>
          <w:rFonts w:ascii="Times New Roman" w:hAnsi="Times New Roman" w:cs="Times New Roman"/>
          <w:sz w:val="20"/>
          <w:szCs w:val="20"/>
          <w:lang w:val="en-GB"/>
        </w:rPr>
        <w:tab/>
      </w:r>
      <w:r w:rsidRPr="00BE1187">
        <w:rPr>
          <w:rFonts w:ascii="Times New Roman" w:hAnsi="Times New Roman" w:cs="Times New Roman"/>
          <w:sz w:val="20"/>
          <w:szCs w:val="20"/>
          <w:lang w:val="en-GB"/>
        </w:rPr>
        <w:t xml:space="preserve">Sjamsuddin, </w:t>
      </w:r>
      <w:r w:rsidRPr="00840B88">
        <w:rPr>
          <w:rFonts w:ascii="Times New Roman" w:hAnsi="Times New Roman" w:cs="Times New Roman"/>
          <w:i/>
          <w:sz w:val="20"/>
          <w:szCs w:val="20"/>
        </w:rPr>
        <w:t>Metodologi Sejarah</w:t>
      </w:r>
      <w:r>
        <w:rPr>
          <w:rFonts w:ascii="Times New Roman" w:hAnsi="Times New Roman" w:cs="Times New Roman"/>
          <w:sz w:val="20"/>
          <w:szCs w:val="20"/>
        </w:rPr>
        <w:t>. Jakarta: Depdikbud, pp. 190, 1996.</w:t>
      </w:r>
    </w:p>
    <w:p w:rsidR="008B0C9F" w:rsidRDefault="008B0C9F" w:rsidP="008B0C9F">
      <w:pPr>
        <w:spacing w:after="0"/>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[5] </w:t>
      </w:r>
      <w:r>
        <w:rPr>
          <w:rFonts w:ascii="Times New Roman" w:hAnsi="Times New Roman" w:cs="Times New Roman"/>
          <w:sz w:val="20"/>
          <w:szCs w:val="20"/>
          <w:lang w:val="en-GB"/>
        </w:rPr>
        <w:tab/>
        <w:t xml:space="preserve">Kaelan, </w:t>
      </w:r>
      <w:r w:rsidRPr="006D5180">
        <w:rPr>
          <w:rFonts w:ascii="Times New Roman" w:hAnsi="Times New Roman" w:cs="Times New Roman"/>
          <w:i/>
          <w:sz w:val="20"/>
          <w:szCs w:val="20"/>
        </w:rPr>
        <w:t>Metode Penelitian Kualitatif Bidang Filsafat</w:t>
      </w:r>
      <w:r>
        <w:rPr>
          <w:rFonts w:ascii="Times New Roman" w:hAnsi="Times New Roman" w:cs="Times New Roman"/>
          <w:i/>
          <w:sz w:val="20"/>
          <w:szCs w:val="20"/>
          <w:lang w:val="en-GB"/>
        </w:rPr>
        <w:t xml:space="preserve">. </w:t>
      </w:r>
      <w:r>
        <w:rPr>
          <w:rFonts w:ascii="Times New Roman" w:hAnsi="Times New Roman" w:cs="Times New Roman"/>
          <w:sz w:val="20"/>
          <w:szCs w:val="20"/>
          <w:lang w:val="en-GB"/>
        </w:rPr>
        <w:t xml:space="preserve">Yogyakarta: Paradigma, pp.90, 2005. </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[6] </w:t>
      </w:r>
      <w:r>
        <w:rPr>
          <w:rFonts w:ascii="Times New Roman" w:hAnsi="Times New Roman" w:cs="Times New Roman"/>
          <w:sz w:val="20"/>
          <w:szCs w:val="20"/>
          <w:lang w:val="en-GB"/>
        </w:rPr>
        <w:tab/>
      </w:r>
      <w:r w:rsidRPr="00BE1187">
        <w:rPr>
          <w:rFonts w:ascii="Times New Roman" w:hAnsi="Times New Roman" w:cs="Times New Roman"/>
          <w:sz w:val="20"/>
          <w:szCs w:val="20"/>
          <w:lang w:val="en-GB"/>
        </w:rPr>
        <w:t>Gottschalk,</w:t>
      </w:r>
      <w:r>
        <w:rPr>
          <w:rFonts w:ascii="Times New Roman" w:hAnsi="Times New Roman" w:cs="Times New Roman"/>
          <w:sz w:val="20"/>
          <w:szCs w:val="20"/>
          <w:lang w:val="en-GB"/>
        </w:rPr>
        <w:t xml:space="preserve"> </w:t>
      </w:r>
      <w:r w:rsidRPr="006D5180">
        <w:rPr>
          <w:rFonts w:ascii="Times New Roman" w:hAnsi="Times New Roman" w:cs="Times New Roman"/>
          <w:i/>
          <w:sz w:val="20"/>
          <w:szCs w:val="20"/>
        </w:rPr>
        <w:t>Understanding History: A Primer of Historical Method. Dalam buku Nugroho Notosusanto, Mengerti sejarah</w:t>
      </w:r>
      <w:r w:rsidRPr="006D5180">
        <w:rPr>
          <w:rFonts w:ascii="Times New Roman" w:hAnsi="Times New Roman" w:cs="Times New Roman"/>
          <w:sz w:val="20"/>
          <w:szCs w:val="20"/>
        </w:rPr>
        <w:t>. Jakar</w:t>
      </w:r>
      <w:r>
        <w:rPr>
          <w:rFonts w:ascii="Times New Roman" w:hAnsi="Times New Roman" w:cs="Times New Roman"/>
          <w:sz w:val="20"/>
          <w:szCs w:val="20"/>
        </w:rPr>
        <w:t>ta: Universitas Indonesia Press, pp.35, 1975.</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[7] </w:t>
      </w:r>
      <w:r>
        <w:rPr>
          <w:rFonts w:ascii="Times New Roman" w:hAnsi="Times New Roman" w:cs="Times New Roman"/>
          <w:sz w:val="20"/>
          <w:szCs w:val="20"/>
          <w:lang w:val="en-GB"/>
        </w:rPr>
        <w:tab/>
      </w:r>
      <w:r>
        <w:rPr>
          <w:rFonts w:asciiTheme="majorBidi" w:hAnsiTheme="majorBidi" w:cstheme="majorBidi"/>
          <w:sz w:val="20"/>
          <w:szCs w:val="20"/>
        </w:rPr>
        <w:t xml:space="preserve">Kuntowijoyo, </w:t>
      </w:r>
      <w:r w:rsidRPr="006D5180">
        <w:rPr>
          <w:rFonts w:ascii="Times New Roman" w:hAnsi="Times New Roman" w:cs="Times New Roman"/>
          <w:i/>
          <w:sz w:val="20"/>
          <w:szCs w:val="20"/>
        </w:rPr>
        <w:t>Pengantar Ilmu Sejarah</w:t>
      </w:r>
      <w:r w:rsidRPr="006D5180">
        <w:rPr>
          <w:rFonts w:ascii="Times New Roman" w:hAnsi="Times New Roman" w:cs="Times New Roman"/>
          <w:sz w:val="20"/>
          <w:szCs w:val="20"/>
        </w:rPr>
        <w:t xml:space="preserve">. </w:t>
      </w:r>
      <w:r>
        <w:rPr>
          <w:rFonts w:ascii="Times New Roman" w:hAnsi="Times New Roman" w:cs="Times New Roman"/>
          <w:sz w:val="20"/>
          <w:szCs w:val="20"/>
        </w:rPr>
        <w:t>Yogyakarta: PT. Bentang Pustaka, pp. 91, 2005.</w:t>
      </w:r>
    </w:p>
    <w:p w:rsidR="008B0C9F" w:rsidRDefault="008B0C9F" w:rsidP="008B0C9F">
      <w:pPr>
        <w:spacing w:after="0"/>
        <w:ind w:left="720" w:hanging="720"/>
        <w:jc w:val="both"/>
        <w:rPr>
          <w:rFonts w:asciiTheme="majorBidi" w:hAnsiTheme="majorBidi" w:cstheme="majorBidi"/>
          <w:sz w:val="20"/>
          <w:szCs w:val="20"/>
        </w:rPr>
      </w:pPr>
      <w:r>
        <w:rPr>
          <w:rFonts w:asciiTheme="majorBidi" w:hAnsiTheme="majorBidi" w:cstheme="majorBidi"/>
          <w:sz w:val="20"/>
          <w:szCs w:val="20"/>
        </w:rPr>
        <w:t xml:space="preserve">[8] </w:t>
      </w:r>
      <w:r>
        <w:rPr>
          <w:rFonts w:asciiTheme="majorBidi" w:hAnsiTheme="majorBidi" w:cstheme="majorBidi"/>
          <w:sz w:val="20"/>
          <w:szCs w:val="20"/>
        </w:rPr>
        <w:tab/>
        <w:t xml:space="preserve">Kuntowijoyo, </w:t>
      </w:r>
      <w:r w:rsidRPr="006D5180">
        <w:rPr>
          <w:rFonts w:ascii="Times New Roman" w:hAnsi="Times New Roman" w:cs="Times New Roman"/>
          <w:i/>
          <w:sz w:val="20"/>
          <w:szCs w:val="20"/>
        </w:rPr>
        <w:t>Pengantar Ilmu Sejarah</w:t>
      </w:r>
      <w:r w:rsidRPr="006D5180">
        <w:rPr>
          <w:rFonts w:ascii="Times New Roman" w:hAnsi="Times New Roman" w:cs="Times New Roman"/>
          <w:sz w:val="20"/>
          <w:szCs w:val="20"/>
        </w:rPr>
        <w:t xml:space="preserve">. </w:t>
      </w:r>
      <w:r>
        <w:rPr>
          <w:rFonts w:ascii="Times New Roman" w:hAnsi="Times New Roman" w:cs="Times New Roman"/>
          <w:sz w:val="20"/>
          <w:szCs w:val="20"/>
        </w:rPr>
        <w:t>Yogyakarta: PT. Bentang Pustaka, pp. 78, 2005.</w:t>
      </w:r>
      <w:r>
        <w:rPr>
          <w:rFonts w:asciiTheme="majorBidi" w:hAnsiTheme="majorBidi" w:cstheme="majorBidi"/>
          <w:sz w:val="20"/>
          <w:szCs w:val="20"/>
        </w:rPr>
        <w:t xml:space="preserve"> </w:t>
      </w:r>
    </w:p>
    <w:p w:rsidR="008B0C9F" w:rsidRDefault="008B0C9F" w:rsidP="008B0C9F">
      <w:pPr>
        <w:spacing w:after="0"/>
        <w:ind w:left="720" w:hanging="720"/>
        <w:jc w:val="both"/>
        <w:rPr>
          <w:rFonts w:asciiTheme="majorBidi" w:hAnsiTheme="majorBidi" w:cstheme="majorBidi"/>
          <w:sz w:val="20"/>
          <w:szCs w:val="20"/>
        </w:rPr>
      </w:pPr>
      <w:r>
        <w:rPr>
          <w:rFonts w:asciiTheme="majorBidi" w:hAnsiTheme="majorBidi" w:cstheme="majorBidi"/>
          <w:sz w:val="20"/>
          <w:szCs w:val="20"/>
        </w:rPr>
        <w:t xml:space="preserve">[9] </w:t>
      </w:r>
      <w:r>
        <w:rPr>
          <w:rFonts w:asciiTheme="majorBidi" w:hAnsiTheme="majorBidi" w:cstheme="majorBidi"/>
          <w:sz w:val="20"/>
          <w:szCs w:val="20"/>
        </w:rPr>
        <w:tab/>
        <w:t xml:space="preserve">Kuntowijoyo, </w:t>
      </w:r>
      <w:r w:rsidRPr="006D5180">
        <w:rPr>
          <w:rFonts w:ascii="Times New Roman" w:hAnsi="Times New Roman" w:cs="Times New Roman"/>
          <w:i/>
          <w:sz w:val="20"/>
          <w:szCs w:val="20"/>
        </w:rPr>
        <w:t>Pengantar Ilmu Sejarah</w:t>
      </w:r>
      <w:r w:rsidRPr="006D5180">
        <w:rPr>
          <w:rFonts w:ascii="Times New Roman" w:hAnsi="Times New Roman" w:cs="Times New Roman"/>
          <w:sz w:val="20"/>
          <w:szCs w:val="20"/>
        </w:rPr>
        <w:t xml:space="preserve">. </w:t>
      </w:r>
      <w:r>
        <w:rPr>
          <w:rFonts w:ascii="Times New Roman" w:hAnsi="Times New Roman" w:cs="Times New Roman"/>
          <w:sz w:val="20"/>
          <w:szCs w:val="20"/>
        </w:rPr>
        <w:t>Yogyakarta: PT. Bentang Pustaka, pp. 79, 2005.</w:t>
      </w:r>
      <w:r>
        <w:rPr>
          <w:rFonts w:asciiTheme="majorBidi" w:hAnsiTheme="majorBidi" w:cstheme="majorBidi"/>
          <w:sz w:val="20"/>
          <w:szCs w:val="20"/>
        </w:rPr>
        <w:t xml:space="preserve"> </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heme="majorBidi" w:hAnsiTheme="majorBidi" w:cstheme="majorBidi"/>
          <w:sz w:val="20"/>
          <w:szCs w:val="20"/>
        </w:rPr>
        <w:t xml:space="preserve">[10] </w:t>
      </w:r>
      <w:r>
        <w:rPr>
          <w:rFonts w:asciiTheme="majorBidi" w:hAnsiTheme="majorBidi" w:cstheme="majorBidi"/>
          <w:sz w:val="20"/>
          <w:szCs w:val="20"/>
        </w:rPr>
        <w:tab/>
      </w:r>
      <w:r w:rsidRPr="00B317D4">
        <w:rPr>
          <w:rFonts w:asciiTheme="majorBidi" w:hAnsiTheme="majorBidi" w:cstheme="majorBidi"/>
          <w:sz w:val="20"/>
          <w:szCs w:val="20"/>
        </w:rPr>
        <w:t xml:space="preserve">Amelz, </w:t>
      </w:r>
      <w:r w:rsidRPr="006D5180">
        <w:rPr>
          <w:rFonts w:ascii="Times New Roman" w:hAnsi="Times New Roman" w:cs="Times New Roman"/>
          <w:i/>
          <w:sz w:val="20"/>
          <w:szCs w:val="20"/>
        </w:rPr>
        <w:t>H.</w:t>
      </w:r>
      <w:r>
        <w:rPr>
          <w:rFonts w:ascii="Times New Roman" w:hAnsi="Times New Roman" w:cs="Times New Roman"/>
          <w:i/>
          <w:sz w:val="20"/>
          <w:szCs w:val="20"/>
        </w:rPr>
        <w:t>O.S Tjokroaminoto Hidup dan P</w:t>
      </w:r>
      <w:r w:rsidRPr="006D5180">
        <w:rPr>
          <w:rFonts w:ascii="Times New Roman" w:hAnsi="Times New Roman" w:cs="Times New Roman"/>
          <w:i/>
          <w:sz w:val="20"/>
          <w:szCs w:val="20"/>
        </w:rPr>
        <w:t>erjuangannya</w:t>
      </w:r>
      <w:r>
        <w:rPr>
          <w:rFonts w:ascii="Times New Roman" w:hAnsi="Times New Roman" w:cs="Times New Roman"/>
          <w:sz w:val="20"/>
          <w:szCs w:val="20"/>
        </w:rPr>
        <w:t>. Jakarta: Bulan Bintang, pp. 50, 1952.</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heme="majorBidi" w:hAnsiTheme="majorBidi" w:cstheme="majorBidi"/>
          <w:sz w:val="20"/>
          <w:szCs w:val="20"/>
        </w:rPr>
        <w:t xml:space="preserve">[11] </w:t>
      </w:r>
      <w:r>
        <w:rPr>
          <w:rFonts w:asciiTheme="majorBidi" w:hAnsiTheme="majorBidi" w:cstheme="majorBidi"/>
          <w:sz w:val="20"/>
          <w:szCs w:val="20"/>
        </w:rPr>
        <w:tab/>
      </w:r>
      <w:r w:rsidRPr="00B317D4">
        <w:rPr>
          <w:rFonts w:asciiTheme="majorBidi" w:hAnsiTheme="majorBidi" w:cstheme="majorBidi"/>
          <w:sz w:val="20"/>
          <w:szCs w:val="20"/>
        </w:rPr>
        <w:t xml:space="preserve">Aziz, </w:t>
      </w:r>
      <w:r w:rsidRPr="006D5180">
        <w:rPr>
          <w:rFonts w:ascii="Times New Roman" w:hAnsi="Times New Roman" w:cs="Times New Roman"/>
          <w:sz w:val="20"/>
          <w:szCs w:val="20"/>
        </w:rPr>
        <w:t xml:space="preserve">Islam, </w:t>
      </w:r>
      <w:r>
        <w:rPr>
          <w:rFonts w:ascii="Times New Roman" w:hAnsi="Times New Roman" w:cs="Times New Roman"/>
          <w:i/>
          <w:sz w:val="20"/>
          <w:szCs w:val="20"/>
        </w:rPr>
        <w:t>Sosialisme d</w:t>
      </w:r>
      <w:r w:rsidRPr="006D5180">
        <w:rPr>
          <w:rFonts w:ascii="Times New Roman" w:hAnsi="Times New Roman" w:cs="Times New Roman"/>
          <w:i/>
          <w:sz w:val="20"/>
          <w:szCs w:val="20"/>
        </w:rPr>
        <w:t>an Politik Prespektif Pemikiran Tjokroaminoto</w:t>
      </w:r>
      <w:r w:rsidRPr="006D5180">
        <w:rPr>
          <w:rFonts w:ascii="Times New Roman" w:hAnsi="Times New Roman" w:cs="Times New Roman"/>
          <w:sz w:val="20"/>
          <w:szCs w:val="20"/>
        </w:rPr>
        <w:t>. Jurnal risalah pendidikan dan studi Islam,</w:t>
      </w:r>
      <w:r>
        <w:rPr>
          <w:rFonts w:ascii="Times New Roman" w:hAnsi="Times New Roman" w:cs="Times New Roman"/>
          <w:sz w:val="20"/>
          <w:szCs w:val="20"/>
        </w:rPr>
        <w:t xml:space="preserve"> vol.4, no.2, pp.1, 2018.</w:t>
      </w:r>
    </w:p>
    <w:p w:rsidR="008B0C9F" w:rsidRDefault="008B0C9F" w:rsidP="008B0C9F">
      <w:pPr>
        <w:spacing w:after="0"/>
        <w:ind w:left="720" w:hanging="720"/>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ab/>
      </w:r>
      <w:r w:rsidRPr="00B317D4">
        <w:rPr>
          <w:rFonts w:asciiTheme="majorBidi" w:hAnsiTheme="majorBidi" w:cstheme="majorBidi"/>
          <w:sz w:val="20"/>
          <w:szCs w:val="20"/>
        </w:rPr>
        <w:t xml:space="preserve">Amelz, </w:t>
      </w:r>
      <w:r w:rsidRPr="006D5180">
        <w:rPr>
          <w:rFonts w:ascii="Times New Roman" w:hAnsi="Times New Roman" w:cs="Times New Roman"/>
          <w:i/>
          <w:sz w:val="20"/>
          <w:szCs w:val="20"/>
        </w:rPr>
        <w:t>H.</w:t>
      </w:r>
      <w:r>
        <w:rPr>
          <w:rFonts w:ascii="Times New Roman" w:hAnsi="Times New Roman" w:cs="Times New Roman"/>
          <w:i/>
          <w:sz w:val="20"/>
          <w:szCs w:val="20"/>
        </w:rPr>
        <w:t>O.S Tjokroaminoto Hidup dan P</w:t>
      </w:r>
      <w:r w:rsidRPr="006D5180">
        <w:rPr>
          <w:rFonts w:ascii="Times New Roman" w:hAnsi="Times New Roman" w:cs="Times New Roman"/>
          <w:i/>
          <w:sz w:val="20"/>
          <w:szCs w:val="20"/>
        </w:rPr>
        <w:t>erjuangannya</w:t>
      </w:r>
      <w:r>
        <w:rPr>
          <w:rFonts w:ascii="Times New Roman" w:hAnsi="Times New Roman" w:cs="Times New Roman"/>
          <w:sz w:val="20"/>
          <w:szCs w:val="20"/>
        </w:rPr>
        <w:t>. Jakarta: Bulan Bintang, pp. 48-50, 1952.</w:t>
      </w:r>
      <w:r>
        <w:rPr>
          <w:rFonts w:ascii="Times New Roman" w:hAnsi="Times New Roman"/>
          <w:sz w:val="20"/>
          <w:szCs w:val="20"/>
        </w:rPr>
        <w:t xml:space="preserve"> </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sz w:val="20"/>
          <w:szCs w:val="20"/>
        </w:rPr>
        <w:t xml:space="preserve">[13] </w:t>
      </w:r>
      <w:r>
        <w:rPr>
          <w:rFonts w:ascii="Times New Roman" w:hAnsi="Times New Roman"/>
          <w:sz w:val="20"/>
          <w:szCs w:val="20"/>
        </w:rPr>
        <w:tab/>
      </w:r>
      <w:r w:rsidRPr="006D5180">
        <w:rPr>
          <w:rFonts w:ascii="Times New Roman" w:hAnsi="Times New Roman"/>
          <w:sz w:val="20"/>
          <w:szCs w:val="20"/>
        </w:rPr>
        <w:t xml:space="preserve">Mulawarman, </w:t>
      </w:r>
      <w:r w:rsidRPr="006D5180">
        <w:rPr>
          <w:rFonts w:ascii="Times New Roman" w:hAnsi="Times New Roman" w:cs="Times New Roman"/>
          <w:i/>
          <w:sz w:val="20"/>
          <w:szCs w:val="20"/>
        </w:rPr>
        <w:t xml:space="preserve">Jang </w:t>
      </w:r>
      <w:r>
        <w:rPr>
          <w:rFonts w:ascii="Times New Roman" w:hAnsi="Times New Roman" w:cs="Times New Roman"/>
          <w:i/>
          <w:sz w:val="20"/>
          <w:szCs w:val="20"/>
        </w:rPr>
        <w:t>Oetama: Jejak d</w:t>
      </w:r>
      <w:r w:rsidRPr="006D5180">
        <w:rPr>
          <w:rFonts w:ascii="Times New Roman" w:hAnsi="Times New Roman" w:cs="Times New Roman"/>
          <w:i/>
          <w:sz w:val="20"/>
          <w:szCs w:val="20"/>
        </w:rPr>
        <w:t xml:space="preserve">an Perjuangan H.O.S Tjokroaminoto Cet. 1. </w:t>
      </w:r>
      <w:r>
        <w:rPr>
          <w:rFonts w:ascii="Times New Roman" w:hAnsi="Times New Roman" w:cs="Times New Roman"/>
          <w:sz w:val="20"/>
          <w:szCs w:val="20"/>
        </w:rPr>
        <w:t>Yogyakarta: Galang Pustaka, pp. 16, 2015.</w:t>
      </w:r>
    </w:p>
    <w:p w:rsidR="008B0C9F" w:rsidRDefault="008B0C9F" w:rsidP="008B0C9F">
      <w:pPr>
        <w:spacing w:after="0"/>
        <w:ind w:left="720" w:hanging="720"/>
        <w:jc w:val="both"/>
        <w:rPr>
          <w:rFonts w:asciiTheme="majorBidi" w:hAnsiTheme="majorBidi" w:cstheme="majorBidi"/>
          <w:sz w:val="20"/>
          <w:szCs w:val="20"/>
        </w:rPr>
      </w:pPr>
      <w:r>
        <w:rPr>
          <w:rFonts w:ascii="Times New Roman" w:hAnsi="Times New Roman"/>
          <w:sz w:val="20"/>
          <w:szCs w:val="20"/>
        </w:rPr>
        <w:t xml:space="preserve">[14] </w:t>
      </w:r>
      <w:r>
        <w:rPr>
          <w:rFonts w:asciiTheme="majorBidi" w:hAnsiTheme="majorBidi" w:cstheme="majorBidi"/>
          <w:sz w:val="20"/>
          <w:szCs w:val="20"/>
        </w:rPr>
        <w:tab/>
        <w:t>Marihandono, pp.77, 2015.</w:t>
      </w:r>
    </w:p>
    <w:p w:rsidR="008B0C9F" w:rsidRDefault="008B0C9F" w:rsidP="008B0C9F">
      <w:pPr>
        <w:spacing w:after="0"/>
        <w:ind w:left="720" w:hanging="720"/>
        <w:jc w:val="both"/>
        <w:rPr>
          <w:rFonts w:asciiTheme="majorBidi" w:hAnsiTheme="majorBidi" w:cstheme="majorBidi"/>
          <w:sz w:val="20"/>
          <w:szCs w:val="20"/>
        </w:rPr>
      </w:pPr>
      <w:r>
        <w:rPr>
          <w:rFonts w:asciiTheme="majorBidi" w:hAnsiTheme="majorBidi" w:cstheme="majorBidi"/>
          <w:sz w:val="20"/>
          <w:szCs w:val="20"/>
        </w:rPr>
        <w:t xml:space="preserve">[15] </w:t>
      </w:r>
      <w:r>
        <w:rPr>
          <w:rFonts w:asciiTheme="majorBidi" w:hAnsiTheme="majorBidi" w:cstheme="majorBidi"/>
          <w:sz w:val="20"/>
          <w:szCs w:val="20"/>
        </w:rPr>
        <w:tab/>
      </w:r>
      <w:r w:rsidRPr="00B317D4">
        <w:rPr>
          <w:rFonts w:asciiTheme="majorBidi" w:hAnsiTheme="majorBidi" w:cstheme="majorBidi"/>
          <w:sz w:val="20"/>
          <w:szCs w:val="20"/>
        </w:rPr>
        <w:t xml:space="preserve">Yasmis, </w:t>
      </w:r>
      <w:r w:rsidRPr="00425E0B">
        <w:rPr>
          <w:rFonts w:ascii="Times New Roman" w:hAnsi="Times New Roman" w:cs="Times New Roman"/>
          <w:i/>
          <w:sz w:val="20"/>
          <w:szCs w:val="20"/>
        </w:rPr>
        <w:t xml:space="preserve">Sarikat Islam </w:t>
      </w:r>
      <w:r>
        <w:rPr>
          <w:rFonts w:ascii="Times New Roman" w:hAnsi="Times New Roman" w:cs="Times New Roman"/>
          <w:i/>
          <w:sz w:val="20"/>
          <w:szCs w:val="20"/>
        </w:rPr>
        <w:t>d</w:t>
      </w:r>
      <w:r w:rsidRPr="00425E0B">
        <w:rPr>
          <w:rFonts w:ascii="Times New Roman" w:hAnsi="Times New Roman" w:cs="Times New Roman"/>
          <w:i/>
          <w:sz w:val="20"/>
          <w:szCs w:val="20"/>
        </w:rPr>
        <w:t>alam Pergerakan Nasional</w:t>
      </w:r>
      <w:r w:rsidRPr="00781E95">
        <w:rPr>
          <w:rFonts w:ascii="Times New Roman" w:hAnsi="Times New Roman" w:cs="Times New Roman"/>
          <w:sz w:val="24"/>
          <w:szCs w:val="24"/>
        </w:rPr>
        <w:t xml:space="preserve"> </w:t>
      </w:r>
      <w:r w:rsidRPr="00425E0B">
        <w:rPr>
          <w:rFonts w:ascii="Times New Roman" w:hAnsi="Times New Roman" w:cs="Times New Roman"/>
          <w:sz w:val="20"/>
          <w:szCs w:val="20"/>
        </w:rPr>
        <w:t xml:space="preserve">(1912-1927). Jurnal sejarah lontar, </w:t>
      </w:r>
      <w:r>
        <w:rPr>
          <w:rFonts w:ascii="Times New Roman" w:hAnsi="Times New Roman" w:cs="Times New Roman"/>
          <w:sz w:val="20"/>
          <w:szCs w:val="20"/>
        </w:rPr>
        <w:t>vol.</w:t>
      </w:r>
      <w:r w:rsidRPr="00425E0B">
        <w:rPr>
          <w:rFonts w:ascii="Times New Roman" w:hAnsi="Times New Roman" w:cs="Times New Roman"/>
          <w:sz w:val="20"/>
          <w:szCs w:val="20"/>
        </w:rPr>
        <w:t>6</w:t>
      </w:r>
      <w:r>
        <w:rPr>
          <w:rFonts w:ascii="Times New Roman" w:hAnsi="Times New Roman" w:cs="Times New Roman"/>
          <w:sz w:val="20"/>
          <w:szCs w:val="20"/>
        </w:rPr>
        <w:t>, no. 1</w:t>
      </w:r>
      <w:r>
        <w:rPr>
          <w:rFonts w:asciiTheme="majorBidi" w:hAnsiTheme="majorBidi" w:cstheme="majorBidi"/>
          <w:sz w:val="20"/>
          <w:szCs w:val="20"/>
        </w:rPr>
        <w:t>, pp. 25, 2009.</w:t>
      </w:r>
    </w:p>
    <w:p w:rsidR="008B0C9F" w:rsidRPr="00425E0B"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[16] </w:t>
      </w:r>
      <w:r>
        <w:rPr>
          <w:rFonts w:ascii="Times New Roman" w:hAnsi="Times New Roman" w:cs="Times New Roman"/>
          <w:sz w:val="20"/>
          <w:szCs w:val="20"/>
          <w:lang w:val="en-GB"/>
        </w:rPr>
        <w:tab/>
      </w:r>
      <w:r w:rsidRPr="00B317D4">
        <w:rPr>
          <w:rFonts w:ascii="Times New Roman" w:hAnsi="Times New Roman" w:cs="Times New Roman"/>
          <w:sz w:val="20"/>
          <w:szCs w:val="20"/>
          <w:lang w:val="en-GB"/>
        </w:rPr>
        <w:t>Noer</w:t>
      </w:r>
      <w:r w:rsidRPr="00425E0B">
        <w:rPr>
          <w:rFonts w:ascii="Times New Roman" w:hAnsi="Times New Roman" w:cs="Times New Roman"/>
          <w:sz w:val="20"/>
          <w:szCs w:val="20"/>
          <w:lang w:val="en-GB"/>
        </w:rPr>
        <w:t xml:space="preserve">, </w:t>
      </w:r>
      <w:r w:rsidRPr="00425E0B">
        <w:rPr>
          <w:rFonts w:ascii="Times New Roman" w:hAnsi="Times New Roman" w:cs="Times New Roman"/>
          <w:i/>
          <w:sz w:val="20"/>
          <w:szCs w:val="20"/>
        </w:rPr>
        <w:t>Gerakan Modern Islam di Indonesia 1900-1942</w:t>
      </w:r>
      <w:r>
        <w:rPr>
          <w:rFonts w:ascii="Times New Roman" w:hAnsi="Times New Roman" w:cs="Times New Roman"/>
          <w:sz w:val="20"/>
          <w:szCs w:val="20"/>
        </w:rPr>
        <w:t>. Jakarta: LP3ES, pp. 126, 1982.</w:t>
      </w:r>
    </w:p>
    <w:p w:rsidR="008B0C9F" w:rsidRPr="00425E0B" w:rsidRDefault="008B0C9F" w:rsidP="008B0C9F">
      <w:pPr>
        <w:spacing w:after="0" w:line="240" w:lineRule="auto"/>
        <w:ind w:left="720" w:hanging="720"/>
        <w:jc w:val="both"/>
        <w:rPr>
          <w:rFonts w:ascii="Times New Roman" w:hAnsi="Times New Roman" w:cs="Times New Roman"/>
          <w:i/>
          <w:sz w:val="20"/>
          <w:szCs w:val="20"/>
        </w:rPr>
      </w:pPr>
      <w:r>
        <w:rPr>
          <w:rFonts w:ascii="Times New Roman" w:hAnsi="Times New Roman" w:cs="Times New Roman"/>
          <w:sz w:val="20"/>
          <w:szCs w:val="20"/>
          <w:lang w:val="en-GB"/>
        </w:rPr>
        <w:t xml:space="preserve">[17] </w:t>
      </w:r>
      <w:r>
        <w:rPr>
          <w:rFonts w:ascii="Times New Roman" w:hAnsi="Times New Roman" w:cs="Times New Roman"/>
          <w:sz w:val="20"/>
          <w:szCs w:val="20"/>
          <w:lang w:val="en-GB"/>
        </w:rPr>
        <w:tab/>
      </w:r>
      <w:r w:rsidRPr="00B317D4">
        <w:rPr>
          <w:rFonts w:ascii="Times New Roman" w:hAnsi="Times New Roman" w:cs="Times New Roman"/>
          <w:sz w:val="20"/>
          <w:szCs w:val="20"/>
          <w:lang w:val="en-GB"/>
        </w:rPr>
        <w:t>Agus Sa</w:t>
      </w:r>
      <w:r>
        <w:rPr>
          <w:rFonts w:ascii="Times New Roman" w:hAnsi="Times New Roman" w:cs="Times New Roman"/>
          <w:sz w:val="20"/>
          <w:szCs w:val="20"/>
          <w:lang w:val="en-GB"/>
        </w:rPr>
        <w:t xml:space="preserve">lim, </w:t>
      </w:r>
      <w:r w:rsidRPr="00425E0B">
        <w:rPr>
          <w:rFonts w:ascii="Times New Roman" w:hAnsi="Times New Roman" w:cs="Times New Roman"/>
          <w:i/>
          <w:sz w:val="20"/>
          <w:szCs w:val="20"/>
        </w:rPr>
        <w:t xml:space="preserve">Haji Oemar Said Cokroaminoto </w:t>
      </w:r>
      <w:r>
        <w:rPr>
          <w:rFonts w:ascii="Times New Roman" w:hAnsi="Times New Roman" w:cs="Times New Roman"/>
          <w:i/>
          <w:sz w:val="20"/>
          <w:szCs w:val="20"/>
        </w:rPr>
        <w:t>c</w:t>
      </w:r>
      <w:r w:rsidRPr="00425E0B">
        <w:rPr>
          <w:rFonts w:ascii="Times New Roman" w:hAnsi="Times New Roman" w:cs="Times New Roman"/>
          <w:i/>
          <w:sz w:val="20"/>
          <w:szCs w:val="20"/>
        </w:rPr>
        <w:t xml:space="preserve">et 1. </w:t>
      </w:r>
      <w:r w:rsidRPr="00425E0B">
        <w:rPr>
          <w:rFonts w:ascii="Times New Roman" w:hAnsi="Times New Roman" w:cs="Times New Roman"/>
          <w:sz w:val="20"/>
          <w:szCs w:val="20"/>
        </w:rPr>
        <w:t>Bandung: Nuansa</w:t>
      </w:r>
      <w:r>
        <w:rPr>
          <w:rFonts w:ascii="Times New Roman" w:hAnsi="Times New Roman" w:cs="Times New Roman"/>
          <w:sz w:val="20"/>
          <w:szCs w:val="20"/>
        </w:rPr>
        <w:t>, pp.37, 2007.</w:t>
      </w:r>
    </w:p>
    <w:p w:rsidR="008B0C9F" w:rsidRPr="00425E0B"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[18] </w:t>
      </w:r>
      <w:r>
        <w:rPr>
          <w:rFonts w:ascii="Times New Roman" w:hAnsi="Times New Roman" w:cs="Times New Roman"/>
          <w:sz w:val="20"/>
          <w:szCs w:val="20"/>
          <w:lang w:val="en-GB"/>
        </w:rPr>
        <w:tab/>
        <w:t xml:space="preserve">Anhar Gongong, </w:t>
      </w:r>
      <w:r w:rsidRPr="00425E0B">
        <w:rPr>
          <w:rFonts w:ascii="Times New Roman" w:hAnsi="Times New Roman" w:cs="Times New Roman"/>
          <w:i/>
          <w:sz w:val="20"/>
          <w:szCs w:val="20"/>
        </w:rPr>
        <w:t>Tjokroaminoto</w:t>
      </w:r>
      <w:r>
        <w:rPr>
          <w:rFonts w:ascii="Times New Roman" w:hAnsi="Times New Roman" w:cs="Times New Roman"/>
          <w:i/>
          <w:sz w:val="20"/>
          <w:szCs w:val="20"/>
        </w:rPr>
        <w:t>: Rumah Ideologi d</w:t>
      </w:r>
      <w:r w:rsidRPr="00425E0B">
        <w:rPr>
          <w:rFonts w:ascii="Times New Roman" w:hAnsi="Times New Roman" w:cs="Times New Roman"/>
          <w:i/>
          <w:sz w:val="20"/>
          <w:szCs w:val="20"/>
        </w:rPr>
        <w:t>an Dialog</w:t>
      </w:r>
      <w:r w:rsidRPr="00425E0B">
        <w:rPr>
          <w:rFonts w:ascii="Times New Roman" w:hAnsi="Times New Roman" w:cs="Times New Roman"/>
          <w:sz w:val="20"/>
          <w:szCs w:val="20"/>
        </w:rPr>
        <w:t>. Dalam B. Setyarso, dkk. (Eds), Tjokroaminoto Guru Para Pendiri Bangsa</w:t>
      </w:r>
      <w:r>
        <w:rPr>
          <w:rFonts w:ascii="Times New Roman" w:hAnsi="Times New Roman" w:cs="Times New Roman"/>
          <w:sz w:val="20"/>
          <w:szCs w:val="20"/>
        </w:rPr>
        <w:t>.  Jakarta: KPG, pp. 126-132, 2011.</w:t>
      </w:r>
    </w:p>
    <w:p w:rsidR="008B0C9F" w:rsidRPr="00425E0B" w:rsidRDefault="008B0C9F" w:rsidP="008B0C9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0"/>
          <w:szCs w:val="20"/>
          <w:lang w:val="en-GB"/>
        </w:rPr>
        <w:t xml:space="preserve">[19] </w:t>
      </w:r>
      <w:r w:rsidRPr="00B317D4">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Pr>
          <w:rFonts w:ascii="Times New Roman" w:hAnsi="Times New Roman" w:cs="Times New Roman"/>
          <w:sz w:val="20"/>
          <w:szCs w:val="20"/>
          <w:lang w:val="en-GB"/>
        </w:rPr>
        <w:tab/>
        <w:t xml:space="preserve">Sayyidah Mawani, </w:t>
      </w:r>
      <w:r w:rsidRPr="00425E0B">
        <w:rPr>
          <w:rFonts w:ascii="Times New Roman" w:hAnsi="Times New Roman" w:cs="Times New Roman"/>
          <w:i/>
          <w:sz w:val="20"/>
          <w:szCs w:val="20"/>
        </w:rPr>
        <w:t>HOS Tjokroaminoto</w:t>
      </w:r>
      <w:r>
        <w:rPr>
          <w:rFonts w:ascii="Times New Roman" w:hAnsi="Times New Roman" w:cs="Times New Roman"/>
          <w:sz w:val="20"/>
          <w:szCs w:val="20"/>
        </w:rPr>
        <w:t>. Yogyakarta: Sociality, pp. 169, 2017.</w:t>
      </w:r>
      <w:r>
        <w:rPr>
          <w:rFonts w:ascii="Times New Roman" w:hAnsi="Times New Roman" w:cs="Times New Roman"/>
          <w:sz w:val="24"/>
          <w:szCs w:val="24"/>
        </w:rPr>
        <w:t xml:space="preserve"> “</w:t>
      </w:r>
      <w:r w:rsidRPr="00B317D4">
        <w:rPr>
          <w:rFonts w:ascii="Times New Roman" w:hAnsi="Times New Roman" w:cs="Times New Roman"/>
          <w:sz w:val="20"/>
          <w:szCs w:val="20"/>
          <w:lang w:val="en-GB"/>
        </w:rPr>
        <w:t>during his life, Tjokroaminoto is taught with education with strong Islam values. Islam became Tjokro’s basis of mindset, acts, and also his view of education.</w:t>
      </w:r>
      <w:r>
        <w:rPr>
          <w:rFonts w:ascii="Times New Roman" w:hAnsi="Times New Roman" w:cs="Times New Roman"/>
          <w:sz w:val="20"/>
          <w:szCs w:val="20"/>
          <w:lang w:val="en-GB"/>
        </w:rPr>
        <w:t>”</w:t>
      </w:r>
    </w:p>
    <w:p w:rsidR="00FB4822" w:rsidRPr="008B0C9F" w:rsidRDefault="008B0C9F" w:rsidP="008B0C9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0"/>
          <w:szCs w:val="20"/>
          <w:lang w:val="en-GB"/>
        </w:rPr>
        <w:t xml:space="preserve">[20] </w:t>
      </w:r>
      <w:r>
        <w:rPr>
          <w:rFonts w:ascii="Times New Roman" w:hAnsi="Times New Roman" w:cs="Times New Roman"/>
          <w:sz w:val="20"/>
          <w:szCs w:val="20"/>
          <w:lang w:val="en-GB"/>
        </w:rPr>
        <w:tab/>
      </w:r>
      <w:r w:rsidRPr="00425E0B">
        <w:rPr>
          <w:rFonts w:ascii="Times New Roman" w:hAnsi="Times New Roman" w:cs="Times New Roman"/>
          <w:sz w:val="20"/>
          <w:szCs w:val="20"/>
          <w:lang w:val="en-GB"/>
        </w:rPr>
        <w:t xml:space="preserve">Setyarso, </w:t>
      </w:r>
      <w:r w:rsidRPr="00425E0B">
        <w:rPr>
          <w:rFonts w:ascii="Times New Roman" w:hAnsi="Times New Roman" w:cs="Times New Roman"/>
          <w:i/>
          <w:sz w:val="20"/>
          <w:szCs w:val="20"/>
        </w:rPr>
        <w:t>Seri Buku Tempo Tjokroaminoto</w:t>
      </w:r>
      <w:r w:rsidRPr="00425E0B">
        <w:rPr>
          <w:rFonts w:ascii="Times New Roman" w:hAnsi="Times New Roman" w:cs="Times New Roman"/>
          <w:sz w:val="20"/>
          <w:szCs w:val="20"/>
        </w:rPr>
        <w:t>. Jakarta: Kepustakaan Populer Gramedia, pp. 28, 2011</w:t>
      </w:r>
      <w:r>
        <w:rPr>
          <w:rFonts w:ascii="Times New Roman" w:hAnsi="Times New Roman" w:cs="Times New Roman"/>
          <w:sz w:val="24"/>
          <w:szCs w:val="24"/>
        </w:rPr>
        <w:t>.</w:t>
      </w:r>
    </w:p>
    <w:sectPr w:rsidR="00FB4822" w:rsidRPr="008B0C9F" w:rsidSect="00C17F7A">
      <w:pgSz w:w="12240" w:h="15840"/>
      <w:pgMar w:top="2837" w:right="2160" w:bottom="2837"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75414"/>
    <w:multiLevelType w:val="hybridMultilevel"/>
    <w:tmpl w:val="CC6E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22"/>
    <w:rsid w:val="00157BA6"/>
    <w:rsid w:val="0048087B"/>
    <w:rsid w:val="005C1F5A"/>
    <w:rsid w:val="005D178B"/>
    <w:rsid w:val="00617703"/>
    <w:rsid w:val="006C39D7"/>
    <w:rsid w:val="007C6ECA"/>
    <w:rsid w:val="008B0C9F"/>
    <w:rsid w:val="00936451"/>
    <w:rsid w:val="00B317D4"/>
    <w:rsid w:val="00BE1187"/>
    <w:rsid w:val="00C17F7A"/>
    <w:rsid w:val="00EA0D41"/>
    <w:rsid w:val="00FB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1252"/>
  <w15:chartTrackingRefBased/>
  <w15:docId w15:val="{1070459E-58A5-4A62-BD30-6E90E718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82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B4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B4822"/>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BE1187"/>
    <w:rPr>
      <w:color w:val="0563C1" w:themeColor="hyperlink"/>
      <w:u w:val="single"/>
    </w:rPr>
  </w:style>
  <w:style w:type="paragraph" w:styleId="ListParagraph">
    <w:name w:val="List Paragraph"/>
    <w:basedOn w:val="Normal"/>
    <w:uiPriority w:val="34"/>
    <w:qFormat/>
    <w:rsid w:val="00BE1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ajat@uny.ac.id" TargetMode="External"/><Relationship Id="rId5" Type="http://schemas.openxmlformats.org/officeDocument/2006/relationships/hyperlink" Target="mailto:1septiantw2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2020-08-12T13:17:00Z</dcterms:created>
  <dcterms:modified xsi:type="dcterms:W3CDTF">2020-08-12T13:17:00Z</dcterms:modified>
</cp:coreProperties>
</file>