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EAAB79D" w14:textId="4B19C592" w:rsidR="00274BE6" w:rsidRPr="00CF67D6" w:rsidRDefault="00CF67D6" w:rsidP="00CF67D6">
      <w:pPr>
        <w:keepNext/>
        <w:keepLines/>
        <w:tabs>
          <w:tab w:val="left" w:pos="284"/>
        </w:tabs>
        <w:jc w:val="center"/>
        <w:rPr>
          <w:rFonts w:eastAsia="Times"/>
          <w:b/>
          <w:sz w:val="28"/>
          <w:szCs w:val="28"/>
          <w:lang w:val="en-US"/>
        </w:rPr>
      </w:pPr>
      <w:r>
        <w:rPr>
          <w:rFonts w:eastAsia="Times"/>
          <w:b/>
          <w:sz w:val="28"/>
          <w:szCs w:val="28"/>
          <w:lang w:val="id-ID"/>
        </w:rPr>
        <w:t xml:space="preserve">CSR in New Normal: </w:t>
      </w:r>
      <w:proofErr w:type="spellStart"/>
      <w:r>
        <w:rPr>
          <w:rFonts w:eastAsia="Times"/>
          <w:b/>
          <w:sz w:val="28"/>
          <w:szCs w:val="28"/>
          <w:lang w:val="en-US"/>
        </w:rPr>
        <w:t>Realiz</w:t>
      </w:r>
      <w:proofErr w:type="spellEnd"/>
      <w:r w:rsidR="00DA5FFD" w:rsidRPr="00CF67D6">
        <w:rPr>
          <w:rFonts w:eastAsia="Times"/>
          <w:b/>
          <w:sz w:val="28"/>
          <w:szCs w:val="28"/>
          <w:lang w:val="id-ID"/>
        </w:rPr>
        <w:t>ing Good Citizenship and Corporate Social Performance for Community Development</w:t>
      </w:r>
    </w:p>
    <w:p w14:paraId="244E684F" w14:textId="77777777" w:rsidR="00CF67D6" w:rsidRPr="00CF67D6" w:rsidRDefault="00CF67D6" w:rsidP="00CF67D6">
      <w:pPr>
        <w:keepNext/>
        <w:keepLines/>
        <w:tabs>
          <w:tab w:val="left" w:pos="284"/>
        </w:tabs>
        <w:jc w:val="center"/>
        <w:rPr>
          <w:rFonts w:eastAsia="Times"/>
          <w:b/>
          <w:sz w:val="32"/>
          <w:szCs w:val="32"/>
          <w:lang w:val="en-US"/>
        </w:rPr>
      </w:pPr>
    </w:p>
    <w:p w14:paraId="60C42510" w14:textId="77777777" w:rsidR="00E779D1" w:rsidRPr="00CF67D6" w:rsidRDefault="00E779D1" w:rsidP="00E779D1">
      <w:pPr>
        <w:ind w:firstLine="227"/>
        <w:jc w:val="center"/>
        <w:rPr>
          <w:rFonts w:eastAsia="Times"/>
          <w:vertAlign w:val="superscript"/>
        </w:rPr>
      </w:pPr>
      <w:r>
        <w:rPr>
          <w:rFonts w:eastAsia="Times"/>
          <w:b/>
        </w:rPr>
        <w:t>Dwi Putri M.K.</w:t>
      </w:r>
      <w:r w:rsidRPr="00CF67D6">
        <w:rPr>
          <w:rFonts w:eastAsia="Times"/>
          <w:b/>
          <w:vertAlign w:val="superscript"/>
        </w:rPr>
        <w:t>1</w:t>
      </w:r>
      <w:r>
        <w:rPr>
          <w:rFonts w:eastAsia="Times"/>
          <w:b/>
        </w:rPr>
        <w:t>, Sri Hastjarjo</w:t>
      </w:r>
      <w:r w:rsidRPr="00CF67D6">
        <w:rPr>
          <w:rFonts w:eastAsia="Times"/>
          <w:b/>
          <w:vertAlign w:val="superscript"/>
        </w:rPr>
        <w:t>2</w:t>
      </w:r>
      <w:r w:rsidRPr="00CF67D6">
        <w:rPr>
          <w:rFonts w:eastAsia="Times"/>
          <w:b/>
        </w:rPr>
        <w:t>,</w:t>
      </w:r>
      <w:r>
        <w:rPr>
          <w:rFonts w:eastAsia="Times"/>
          <w:b/>
        </w:rPr>
        <w:t xml:space="preserve"> Yulius Slamet</w:t>
      </w:r>
      <w:r w:rsidRPr="00CF67D6">
        <w:rPr>
          <w:rFonts w:eastAsia="Times"/>
          <w:vertAlign w:val="superscript"/>
        </w:rPr>
        <w:t>3</w:t>
      </w:r>
    </w:p>
    <w:p w14:paraId="5FCEC900" w14:textId="77777777" w:rsidR="00E779D1" w:rsidRPr="00CF67D6" w:rsidRDefault="00E779D1" w:rsidP="00E779D1">
      <w:pPr>
        <w:jc w:val="center"/>
        <w:rPr>
          <w:lang w:val="en-US"/>
        </w:rPr>
      </w:pPr>
      <w:r w:rsidRPr="00CF67D6">
        <w:rPr>
          <w:rFonts w:eastAsia="Times"/>
          <w:sz w:val="18"/>
          <w:szCs w:val="18"/>
          <w:vertAlign w:val="superscript"/>
        </w:rPr>
        <w:t>1</w:t>
      </w:r>
      <w:r w:rsidRPr="00CF67D6">
        <w:rPr>
          <w:rFonts w:eastAsia="Times"/>
          <w:sz w:val="18"/>
          <w:szCs w:val="18"/>
        </w:rPr>
        <w:t>,</w:t>
      </w:r>
      <w:r w:rsidRPr="00CF67D6">
        <w:rPr>
          <w:rFonts w:eastAsia="Times"/>
          <w:sz w:val="18"/>
          <w:szCs w:val="18"/>
          <w:vertAlign w:val="superscript"/>
        </w:rPr>
        <w:t>2</w:t>
      </w:r>
      <w:r w:rsidRPr="00CF67D6">
        <w:rPr>
          <w:rFonts w:eastAsia="Times"/>
          <w:sz w:val="18"/>
          <w:szCs w:val="18"/>
        </w:rPr>
        <w:t>,</w:t>
      </w:r>
      <w:r w:rsidRPr="00CF67D6">
        <w:rPr>
          <w:rFonts w:eastAsia="Times"/>
          <w:sz w:val="18"/>
          <w:szCs w:val="18"/>
          <w:vertAlign w:val="superscript"/>
        </w:rPr>
        <w:t>3</w:t>
      </w:r>
      <w:r w:rsidRPr="00CF67D6">
        <w:rPr>
          <w:rFonts w:eastAsia="Times"/>
          <w:sz w:val="18"/>
          <w:szCs w:val="18"/>
        </w:rPr>
        <w:t xml:space="preserve"> Department of Communication Studies Universitas Sebelas Maret, Surakarta, Indonesia</w:t>
      </w:r>
    </w:p>
    <w:p w14:paraId="1B01FE50" w14:textId="77777777" w:rsidR="00E779D1" w:rsidRPr="001037DA" w:rsidRDefault="00E779D1" w:rsidP="00E779D1">
      <w:pPr>
        <w:jc w:val="center"/>
        <w:rPr>
          <w:rFonts w:eastAsia="Times"/>
          <w:color w:val="auto"/>
          <w:sz w:val="18"/>
          <w:szCs w:val="18"/>
        </w:rPr>
      </w:pPr>
      <w:r w:rsidRPr="00A21ECD">
        <w:rPr>
          <w:rFonts w:eastAsia="Times"/>
          <w:color w:val="auto"/>
          <w:sz w:val="18"/>
          <w:szCs w:val="18"/>
        </w:rPr>
        <w:t>dweeputri19@student.uns.ac.id</w:t>
      </w:r>
      <w:r w:rsidRPr="001037DA">
        <w:rPr>
          <w:rFonts w:eastAsia="Times"/>
          <w:color w:val="auto"/>
          <w:sz w:val="18"/>
          <w:szCs w:val="18"/>
          <w:vertAlign w:val="superscript"/>
        </w:rPr>
        <w:t>1</w:t>
      </w:r>
      <w:r w:rsidRPr="001037DA">
        <w:rPr>
          <w:rFonts w:eastAsia="Times"/>
          <w:color w:val="auto"/>
          <w:sz w:val="18"/>
          <w:szCs w:val="18"/>
        </w:rPr>
        <w:t xml:space="preserve">, </w:t>
      </w:r>
      <w:hyperlink r:id="rId9" w:history="1">
        <w:r w:rsidRPr="00116E86">
          <w:rPr>
            <w:rStyle w:val="Hyperlink"/>
            <w:rFonts w:eastAsia="Times"/>
            <w:sz w:val="18"/>
            <w:szCs w:val="18"/>
          </w:rPr>
          <w:t>sri.hastjarjo@staff.uns.ac.id</w:t>
        </w:r>
        <w:r w:rsidRPr="00116E86">
          <w:rPr>
            <w:rStyle w:val="Hyperlink"/>
            <w:rFonts w:eastAsia="Times"/>
            <w:sz w:val="18"/>
            <w:szCs w:val="18"/>
            <w:vertAlign w:val="superscript"/>
          </w:rPr>
          <w:t>2</w:t>
        </w:r>
      </w:hyperlink>
      <w:r w:rsidRPr="001037DA">
        <w:rPr>
          <w:rFonts w:eastAsia="Times"/>
          <w:color w:val="auto"/>
          <w:sz w:val="18"/>
          <w:szCs w:val="18"/>
        </w:rPr>
        <w:t>,</w:t>
      </w:r>
      <w:r w:rsidRPr="00A21ECD">
        <w:rPr>
          <w:rFonts w:eastAsia="Times"/>
        </w:rPr>
        <w:t xml:space="preserve"> </w:t>
      </w:r>
      <w:r>
        <w:rPr>
          <w:rFonts w:eastAsia="Times"/>
          <w:color w:val="auto"/>
          <w:sz w:val="18"/>
          <w:szCs w:val="18"/>
        </w:rPr>
        <w:t>yuliusslamet48@gmail.com</w:t>
      </w:r>
      <w:r>
        <w:fldChar w:fldCharType="begin"/>
      </w:r>
      <w:r>
        <w:instrText xml:space="preserve"> HYPERLINK "mailto:dweeputri19@student.uns.ac.id3" </w:instrText>
      </w:r>
      <w:r>
        <w:fldChar w:fldCharType="separate"/>
      </w:r>
      <w:r w:rsidRPr="001037DA">
        <w:rPr>
          <w:rStyle w:val="Hyperlink"/>
          <w:rFonts w:eastAsia="Times"/>
          <w:color w:val="auto"/>
          <w:sz w:val="18"/>
          <w:szCs w:val="18"/>
          <w:u w:val="none"/>
          <w:vertAlign w:val="superscript"/>
        </w:rPr>
        <w:t>3</w:t>
      </w:r>
      <w:r>
        <w:rPr>
          <w:rStyle w:val="Hyperlink"/>
          <w:rFonts w:eastAsia="Times"/>
          <w:color w:val="auto"/>
          <w:sz w:val="18"/>
          <w:szCs w:val="18"/>
          <w:u w:val="none"/>
          <w:vertAlign w:val="superscript"/>
        </w:rPr>
        <w:fldChar w:fldCharType="end"/>
      </w:r>
    </w:p>
    <w:p w14:paraId="20348BD6" w14:textId="5FB91236" w:rsidR="00800654" w:rsidRPr="00CF67D6" w:rsidRDefault="00800654" w:rsidP="00800654">
      <w:pPr>
        <w:spacing w:before="400" w:after="120"/>
        <w:ind w:right="567"/>
        <w:jc w:val="center"/>
        <w:rPr>
          <w:rFonts w:eastAsia="Times"/>
          <w:b/>
          <w:sz w:val="18"/>
          <w:szCs w:val="18"/>
        </w:rPr>
      </w:pPr>
      <w:r w:rsidRPr="00CF67D6">
        <w:rPr>
          <w:rFonts w:eastAsia="Times"/>
          <w:b/>
          <w:sz w:val="18"/>
          <w:szCs w:val="18"/>
        </w:rPr>
        <w:t>Abstract</w:t>
      </w:r>
    </w:p>
    <w:p w14:paraId="0AC08E90" w14:textId="2BCBD47E" w:rsidR="00800654" w:rsidRPr="00CF67D6" w:rsidRDefault="003E21EE" w:rsidP="00800654">
      <w:pPr>
        <w:spacing w:before="400"/>
        <w:ind w:left="567" w:right="509"/>
        <w:jc w:val="both"/>
        <w:rPr>
          <w:rFonts w:eastAsia="Times"/>
          <w:b/>
          <w:sz w:val="18"/>
          <w:szCs w:val="18"/>
        </w:rPr>
      </w:pPr>
      <w:r w:rsidRPr="00CF67D6">
        <w:rPr>
          <w:iCs/>
          <w:sz w:val="18"/>
          <w:szCs w:val="18"/>
        </w:rPr>
        <w:t>Corporate Social Responsibility (CSR) is an obligation for an organization or company in any sector including in the realm of business and its relationship with government and society. The implementation of CSR in state-owned companies especially national banks has also increased from time to time. In new normal banking, it is demanded to play an active role and contribute in national development aimed at advancing and strengthening the economy in society. Based on the Asia Money Award survey in 2017-2019, Bank Mandiri and Bank Rakyat Indonesia are the banks with the best CSR implementation in Indonesia. The purpose of this study is to determine the implementation of Corporate Social Responsibility (CSR) conducted by the two national banks in the new normal era by using the comparative method and its relation to Corporate Social Performance Theory and Corporate</w:t>
      </w:r>
      <w:r w:rsidR="00E779D1">
        <w:rPr>
          <w:iCs/>
          <w:sz w:val="18"/>
          <w:szCs w:val="18"/>
        </w:rPr>
        <w:t xml:space="preserve"> Citizenship. The main point </w:t>
      </w:r>
      <w:r w:rsidRPr="00CF67D6">
        <w:rPr>
          <w:iCs/>
          <w:sz w:val="18"/>
          <w:szCs w:val="18"/>
        </w:rPr>
        <w:t>is how Bank Mandiri and Bank Rakyat Indonesia (BRI) present a social responsibility and social obligation through CSR programs to stakeholders, especially the public</w:t>
      </w:r>
      <w:r w:rsidR="00E779D1">
        <w:t xml:space="preserve">. </w:t>
      </w:r>
      <w:r w:rsidR="00E779D1" w:rsidRPr="00E779D1">
        <w:rPr>
          <w:iCs/>
          <w:sz w:val="18"/>
          <w:szCs w:val="18"/>
        </w:rPr>
        <w:t>From this study it was concluded that after comparing Bank Mandiri and Bank Rakyat Indonesia (BRI) had similarities and differences in the implementation of CSR</w:t>
      </w:r>
      <w:r w:rsidR="00E779D1">
        <w:rPr>
          <w:iCs/>
          <w:sz w:val="18"/>
          <w:szCs w:val="18"/>
        </w:rPr>
        <w:t xml:space="preserve"> in new normal</w:t>
      </w:r>
      <w:r w:rsidR="00E779D1" w:rsidRPr="00E779D1">
        <w:rPr>
          <w:iCs/>
          <w:sz w:val="18"/>
          <w:szCs w:val="18"/>
        </w:rPr>
        <w:t xml:space="preserve">, although not significant. </w:t>
      </w:r>
    </w:p>
    <w:p w14:paraId="22C0D2BB" w14:textId="75EBE8AD" w:rsidR="00274BE6" w:rsidRPr="009E025D" w:rsidRDefault="008153B4" w:rsidP="009E025D">
      <w:pPr>
        <w:spacing w:before="400"/>
        <w:ind w:left="567" w:right="567"/>
        <w:rPr>
          <w:iCs/>
          <w:sz w:val="18"/>
          <w:szCs w:val="18"/>
        </w:rPr>
      </w:pPr>
      <w:r w:rsidRPr="00CF67D6">
        <w:rPr>
          <w:rFonts w:eastAsia="Times"/>
          <w:b/>
          <w:i/>
          <w:sz w:val="18"/>
          <w:szCs w:val="18"/>
        </w:rPr>
        <w:t>Keywords</w:t>
      </w:r>
      <w:r w:rsidRPr="00CF67D6">
        <w:rPr>
          <w:rFonts w:eastAsia="Times"/>
          <w:b/>
          <w:sz w:val="18"/>
          <w:szCs w:val="18"/>
        </w:rPr>
        <w:t xml:space="preserve">: </w:t>
      </w:r>
      <w:r w:rsidR="003E21EE" w:rsidRPr="00CF67D6">
        <w:rPr>
          <w:rFonts w:eastAsia="Times"/>
          <w:sz w:val="18"/>
          <w:szCs w:val="18"/>
        </w:rPr>
        <w:t>CSR,</w:t>
      </w:r>
      <w:r w:rsidR="009E025D">
        <w:rPr>
          <w:rFonts w:eastAsia="Times"/>
          <w:sz w:val="18"/>
          <w:szCs w:val="18"/>
        </w:rPr>
        <w:t xml:space="preserve"> </w:t>
      </w:r>
      <w:r w:rsidR="00154162" w:rsidRPr="00CF67D6">
        <w:rPr>
          <w:rFonts w:eastAsia="Times"/>
          <w:sz w:val="18"/>
          <w:szCs w:val="18"/>
        </w:rPr>
        <w:t>New Normal</w:t>
      </w:r>
      <w:r w:rsidR="009E025D">
        <w:rPr>
          <w:rFonts w:eastAsia="Times"/>
          <w:sz w:val="18"/>
          <w:szCs w:val="18"/>
        </w:rPr>
        <w:t xml:space="preserve">, </w:t>
      </w:r>
      <w:r w:rsidR="003E21EE" w:rsidRPr="00CF67D6">
        <w:rPr>
          <w:rFonts w:eastAsia="Times"/>
          <w:sz w:val="18"/>
          <w:szCs w:val="18"/>
        </w:rPr>
        <w:t>Comparative</w:t>
      </w:r>
      <w:r w:rsidR="009E025D">
        <w:rPr>
          <w:rFonts w:eastAsia="Times"/>
          <w:sz w:val="18"/>
          <w:szCs w:val="18"/>
        </w:rPr>
        <w:t xml:space="preserve">, </w:t>
      </w:r>
      <w:r w:rsidR="00570585" w:rsidRPr="00CF67D6">
        <w:rPr>
          <w:iCs/>
          <w:sz w:val="18"/>
          <w:szCs w:val="18"/>
        </w:rPr>
        <w:t>Corporat</w:t>
      </w:r>
      <w:r w:rsidR="009E025D">
        <w:rPr>
          <w:iCs/>
          <w:sz w:val="18"/>
          <w:szCs w:val="18"/>
        </w:rPr>
        <w:t xml:space="preserve">e Social Performance, Corporate    </w:t>
      </w:r>
      <w:r w:rsidR="00570585" w:rsidRPr="00CF67D6">
        <w:rPr>
          <w:iCs/>
          <w:sz w:val="18"/>
          <w:szCs w:val="18"/>
        </w:rPr>
        <w:t>Citizenship</w:t>
      </w:r>
    </w:p>
    <w:p w14:paraId="39980342" w14:textId="6DE39054" w:rsidR="00800654" w:rsidRPr="00CF67D6" w:rsidRDefault="00F72CB6" w:rsidP="00F97047">
      <w:pPr>
        <w:pStyle w:val="ListParagraph"/>
        <w:keepNext/>
        <w:keepLines/>
        <w:numPr>
          <w:ilvl w:val="0"/>
          <w:numId w:val="2"/>
        </w:numPr>
        <w:tabs>
          <w:tab w:val="left" w:pos="284"/>
          <w:tab w:val="left" w:pos="454"/>
        </w:tabs>
        <w:spacing w:before="520"/>
        <w:ind w:hanging="720"/>
        <w:jc w:val="both"/>
        <w:rPr>
          <w:rFonts w:eastAsia="Times"/>
          <w:b/>
          <w:sz w:val="24"/>
          <w:szCs w:val="24"/>
        </w:rPr>
      </w:pPr>
      <w:r w:rsidRPr="00CF67D6">
        <w:rPr>
          <w:rFonts w:eastAsia="Times"/>
          <w:b/>
          <w:sz w:val="24"/>
          <w:szCs w:val="24"/>
        </w:rPr>
        <w:t>Introduction</w:t>
      </w:r>
    </w:p>
    <w:p w14:paraId="7C5E45AF" w14:textId="77777777" w:rsidR="007B15E7" w:rsidRDefault="007B15E7" w:rsidP="00870B64">
      <w:pPr>
        <w:jc w:val="both"/>
        <w:rPr>
          <w:rFonts w:eastAsia="Times"/>
        </w:rPr>
      </w:pPr>
    </w:p>
    <w:p w14:paraId="0087770C" w14:textId="726518F6" w:rsidR="00F72CB6" w:rsidRPr="00CF67D6" w:rsidRDefault="00B33D15" w:rsidP="00A713FF">
      <w:pPr>
        <w:ind w:firstLine="567"/>
        <w:jc w:val="both"/>
        <w:rPr>
          <w:rFonts w:eastAsia="Times"/>
        </w:rPr>
      </w:pPr>
      <w:r w:rsidRPr="00B33D15">
        <w:rPr>
          <w:rFonts w:eastAsia="Times"/>
        </w:rPr>
        <w:t>The history of CSR began in the late 1970s and early 1980s, which was marked by increasing concern for the corporate image. Companies are required to adapt to the increasing demand for information from the public</w:t>
      </w:r>
      <w:r w:rsidR="00284130">
        <w:rPr>
          <w:rFonts w:eastAsia="Times"/>
        </w:rPr>
        <w:t>.</w:t>
      </w:r>
      <w:r w:rsidR="00357C4A">
        <w:rPr>
          <w:rFonts w:eastAsia="Times"/>
        </w:rPr>
        <w:t xml:space="preserve"> </w:t>
      </w:r>
      <w:r w:rsidR="00357C4A" w:rsidRPr="00357C4A">
        <w:rPr>
          <w:rFonts w:eastAsia="Times"/>
        </w:rPr>
        <w:t>Until 2000 Public Relations and CSR relations had a set of similarities that showed increased effectiveness and integration. Even CSR and Public Relations have the same goal to improve the quality of an organization's relationships with stakeholders</w:t>
      </w:r>
      <w:r w:rsidR="00284130">
        <w:rPr>
          <w:rFonts w:eastAsia="Times"/>
        </w:rPr>
        <w:t xml:space="preserve"> </w:t>
      </w:r>
      <w:r>
        <w:rPr>
          <w:rFonts w:eastAsia="Times"/>
        </w:rPr>
        <w:t xml:space="preserve"> </w:t>
      </w:r>
      <w:sdt>
        <w:sdtPr>
          <w:rPr>
            <w:rFonts w:eastAsia="Times"/>
          </w:rPr>
          <w:id w:val="-773867095"/>
          <w:citation/>
        </w:sdtPr>
        <w:sdtEndPr/>
        <w:sdtContent>
          <w:r>
            <w:rPr>
              <w:rFonts w:eastAsia="Times"/>
            </w:rPr>
            <w:fldChar w:fldCharType="begin"/>
          </w:r>
          <w:r w:rsidR="00461375">
            <w:rPr>
              <w:rFonts w:eastAsia="Times"/>
              <w:lang w:val="en-US"/>
            </w:rPr>
            <w:instrText xml:space="preserve">CITATION Cla00 \l 1033 </w:instrText>
          </w:r>
          <w:r>
            <w:rPr>
              <w:rFonts w:eastAsia="Times"/>
            </w:rPr>
            <w:fldChar w:fldCharType="separate"/>
          </w:r>
          <w:r w:rsidR="00665D87" w:rsidRPr="00665D87">
            <w:rPr>
              <w:rFonts w:eastAsia="Times"/>
              <w:noProof/>
              <w:lang w:val="en-US"/>
            </w:rPr>
            <w:t>[</w:t>
          </w:r>
          <w:hyperlink w:anchor="Cla00" w:history="1">
            <w:r w:rsidR="00665D87" w:rsidRPr="00665D87">
              <w:rPr>
                <w:rFonts w:eastAsia="Times"/>
                <w:noProof/>
                <w:lang w:val="en-US"/>
              </w:rPr>
              <w:t>1</w:t>
            </w:r>
          </w:hyperlink>
          <w:r w:rsidR="00665D87" w:rsidRPr="00665D87">
            <w:rPr>
              <w:rFonts w:eastAsia="Times"/>
              <w:noProof/>
              <w:lang w:val="en-US"/>
            </w:rPr>
            <w:t>]</w:t>
          </w:r>
          <w:r>
            <w:rPr>
              <w:rFonts w:eastAsia="Times"/>
            </w:rPr>
            <w:fldChar w:fldCharType="end"/>
          </w:r>
        </w:sdtContent>
      </w:sdt>
      <w:r w:rsidR="00357C4A">
        <w:rPr>
          <w:rFonts w:eastAsia="Times"/>
        </w:rPr>
        <w:t xml:space="preserve">. </w:t>
      </w:r>
      <w:r w:rsidR="00284130">
        <w:rPr>
          <w:rFonts w:eastAsia="Times"/>
        </w:rPr>
        <w:t xml:space="preserve"> </w:t>
      </w:r>
      <w:r w:rsidR="00F72CB6" w:rsidRPr="00CF67D6">
        <w:rPr>
          <w:rFonts w:eastAsia="Times"/>
        </w:rPr>
        <w:t xml:space="preserve">External organizational communication is the main function for the survival of the organization. An organization needs to be able to manage problems, and crises to achieve its goals. All of these challenges are related to the actions of the stakeholders who are related or have an interest in the work of the organization. These stakeholders include people such as government officials, customers, service providers, and members of the surrounding environment </w:t>
      </w:r>
      <w:r w:rsidR="00333C2C" w:rsidRPr="00CF67D6">
        <w:rPr>
          <w:rFonts w:eastAsia="Times"/>
          <w:lang w:val="id-ID"/>
        </w:rPr>
        <w:t xml:space="preserve"> </w:t>
      </w:r>
      <w:sdt>
        <w:sdtPr>
          <w:rPr>
            <w:rFonts w:eastAsia="Times"/>
            <w:lang w:val="id-ID"/>
          </w:rPr>
          <w:id w:val="-701865908"/>
          <w:citation/>
        </w:sdtPr>
        <w:sdtEndPr/>
        <w:sdtContent>
          <w:r w:rsidR="00333C2C" w:rsidRPr="00CF67D6">
            <w:rPr>
              <w:rFonts w:eastAsia="Times"/>
              <w:lang w:val="id-ID"/>
            </w:rPr>
            <w:fldChar w:fldCharType="begin"/>
          </w:r>
          <w:r w:rsidR="00333C2C" w:rsidRPr="00CF67D6">
            <w:rPr>
              <w:rFonts w:eastAsia="Times"/>
              <w:lang w:val="id-ID"/>
            </w:rPr>
            <w:instrText xml:space="preserve"> CITATION Ste17 \l 1057 </w:instrText>
          </w:r>
          <w:r w:rsidR="00333C2C" w:rsidRPr="00CF67D6">
            <w:rPr>
              <w:rFonts w:eastAsia="Times"/>
              <w:lang w:val="id-ID"/>
            </w:rPr>
            <w:fldChar w:fldCharType="separate"/>
          </w:r>
          <w:r w:rsidR="00665D87" w:rsidRPr="00665D87">
            <w:rPr>
              <w:rFonts w:eastAsia="Times"/>
              <w:noProof/>
              <w:lang w:val="id-ID"/>
            </w:rPr>
            <w:t>[</w:t>
          </w:r>
          <w:hyperlink w:anchor="Ste17" w:history="1">
            <w:r w:rsidR="00665D87" w:rsidRPr="00665D87">
              <w:rPr>
                <w:rFonts w:eastAsia="Times"/>
                <w:noProof/>
                <w:lang w:val="id-ID"/>
              </w:rPr>
              <w:t>2</w:t>
            </w:r>
          </w:hyperlink>
          <w:r w:rsidR="00665D87" w:rsidRPr="00665D87">
            <w:rPr>
              <w:rFonts w:eastAsia="Times"/>
              <w:noProof/>
              <w:lang w:val="id-ID"/>
            </w:rPr>
            <w:t>]</w:t>
          </w:r>
          <w:r w:rsidR="00333C2C" w:rsidRPr="00CF67D6">
            <w:rPr>
              <w:rFonts w:eastAsia="Times"/>
              <w:lang w:val="id-ID"/>
            </w:rPr>
            <w:fldChar w:fldCharType="end"/>
          </w:r>
        </w:sdtContent>
      </w:sdt>
    </w:p>
    <w:p w14:paraId="6555BF32" w14:textId="5075A100" w:rsidR="00870B64" w:rsidRPr="00870B64" w:rsidRDefault="00F72CB6" w:rsidP="00870B64">
      <w:pPr>
        <w:ind w:firstLine="567"/>
        <w:jc w:val="both"/>
        <w:rPr>
          <w:rFonts w:eastAsia="Times"/>
          <w:lang w:val="en-US"/>
        </w:rPr>
      </w:pPr>
      <w:r w:rsidRPr="00CF67D6">
        <w:rPr>
          <w:rFonts w:eastAsia="Times"/>
        </w:rPr>
        <w:t>At present Corporate Social Responsibility (CSR) is an obligation for an organization or company in any sector including in the realm of business and banking and its relationship with the government. The government also became aware of the national competitive advantage that would be won from the responsible business sector.</w:t>
      </w:r>
      <w:r w:rsidR="00870B64">
        <w:rPr>
          <w:rFonts w:eastAsia="Times"/>
        </w:rPr>
        <w:t xml:space="preserve"> </w:t>
      </w:r>
      <w:r w:rsidRPr="00CF67D6">
        <w:rPr>
          <w:rFonts w:eastAsia="Times"/>
        </w:rPr>
        <w:t xml:space="preserve">At the same time, leading </w:t>
      </w:r>
      <w:r w:rsidRPr="00CF67D6">
        <w:rPr>
          <w:rFonts w:eastAsia="Times"/>
        </w:rPr>
        <w:lastRenderedPageBreak/>
        <w:t>industry associations, such as the World Business Council for Sustainable Development, also suggest that countries and companies can gain a competitive advantage from corporate social responsibility. In many developing countries, governments and businesses understand that their respective competitive positions and capital are becoming increasingly dependent on the highest global standards</w:t>
      </w:r>
      <w:r w:rsidR="00333C2C" w:rsidRPr="00CF67D6">
        <w:rPr>
          <w:rFonts w:eastAsia="Times"/>
          <w:lang w:val="id-ID"/>
        </w:rPr>
        <w:t xml:space="preserve"> </w:t>
      </w:r>
      <w:sdt>
        <w:sdtPr>
          <w:rPr>
            <w:rFonts w:eastAsia="Times"/>
            <w:lang w:val="id-ID"/>
          </w:rPr>
          <w:id w:val="9875747"/>
          <w:citation/>
        </w:sdtPr>
        <w:sdtEndPr/>
        <w:sdtContent>
          <w:r w:rsidR="00D84D6A" w:rsidRPr="00CF67D6">
            <w:rPr>
              <w:rFonts w:eastAsia="Times"/>
              <w:lang w:val="id-ID"/>
            </w:rPr>
            <w:fldChar w:fldCharType="begin"/>
          </w:r>
          <w:r w:rsidR="00D84D6A" w:rsidRPr="00CF67D6">
            <w:rPr>
              <w:rFonts w:eastAsia="Times"/>
              <w:lang w:val="id-ID"/>
            </w:rPr>
            <w:instrText xml:space="preserve"> CITATION Pau07 \l 1057 </w:instrText>
          </w:r>
          <w:r w:rsidR="00D84D6A" w:rsidRPr="00CF67D6">
            <w:rPr>
              <w:rFonts w:eastAsia="Times"/>
              <w:lang w:val="id-ID"/>
            </w:rPr>
            <w:fldChar w:fldCharType="separate"/>
          </w:r>
          <w:r w:rsidR="00665D87" w:rsidRPr="00665D87">
            <w:rPr>
              <w:rFonts w:eastAsia="Times"/>
              <w:noProof/>
              <w:lang w:val="id-ID"/>
            </w:rPr>
            <w:t>[</w:t>
          </w:r>
          <w:hyperlink w:anchor="Pau07" w:history="1">
            <w:r w:rsidR="00665D87" w:rsidRPr="00665D87">
              <w:rPr>
                <w:rFonts w:eastAsia="Times"/>
                <w:noProof/>
                <w:lang w:val="id-ID"/>
              </w:rPr>
              <w:t>3</w:t>
            </w:r>
          </w:hyperlink>
          <w:r w:rsidR="00665D87" w:rsidRPr="00665D87">
            <w:rPr>
              <w:rFonts w:eastAsia="Times"/>
              <w:noProof/>
              <w:lang w:val="id-ID"/>
            </w:rPr>
            <w:t>]</w:t>
          </w:r>
          <w:r w:rsidR="00D84D6A" w:rsidRPr="00CF67D6">
            <w:rPr>
              <w:rFonts w:eastAsia="Times"/>
              <w:lang w:val="id-ID"/>
            </w:rPr>
            <w:fldChar w:fldCharType="end"/>
          </w:r>
        </w:sdtContent>
      </w:sdt>
      <w:r w:rsidR="00870B64">
        <w:rPr>
          <w:rFonts w:eastAsia="Times"/>
          <w:lang w:val="en-US"/>
        </w:rPr>
        <w:t xml:space="preserve">. </w:t>
      </w:r>
      <w:r w:rsidR="00870B64" w:rsidRPr="00870B64">
        <w:rPr>
          <w:rFonts w:eastAsia="Times"/>
          <w:lang w:val="en-US"/>
        </w:rPr>
        <w:t>There is sustainability and corporate responsibility when companies add a social dimension to their value propositions, when organizations make good social and environmental impacts it is an integral part of their overall corporate strategy. The reason behind the company's responsibility lies in the creation of values and results that are mutually beneficial to both the company's business and the community</w:t>
      </w:r>
      <w:sdt>
        <w:sdtPr>
          <w:rPr>
            <w:rFonts w:eastAsia="Times"/>
            <w:lang w:val="en-US"/>
          </w:rPr>
          <w:id w:val="19439745"/>
          <w:citation/>
        </w:sdtPr>
        <w:sdtEndPr/>
        <w:sdtContent>
          <w:r w:rsidR="00870B64">
            <w:rPr>
              <w:rFonts w:eastAsia="Times"/>
              <w:lang w:val="en-US"/>
            </w:rPr>
            <w:fldChar w:fldCharType="begin"/>
          </w:r>
          <w:r w:rsidR="00870B64">
            <w:rPr>
              <w:rFonts w:eastAsia="Times"/>
              <w:lang w:val="en-US"/>
            </w:rPr>
            <w:instrText xml:space="preserve"> CITATION Cam16 \l 1033 </w:instrText>
          </w:r>
          <w:r w:rsidR="00870B64">
            <w:rPr>
              <w:rFonts w:eastAsia="Times"/>
              <w:lang w:val="en-US"/>
            </w:rPr>
            <w:fldChar w:fldCharType="separate"/>
          </w:r>
          <w:r w:rsidR="00665D87">
            <w:rPr>
              <w:rFonts w:eastAsia="Times"/>
              <w:noProof/>
              <w:lang w:val="en-US"/>
            </w:rPr>
            <w:t xml:space="preserve"> </w:t>
          </w:r>
          <w:r w:rsidR="00665D87" w:rsidRPr="00665D87">
            <w:rPr>
              <w:rFonts w:eastAsia="Times"/>
              <w:noProof/>
              <w:lang w:val="en-US"/>
            </w:rPr>
            <w:t>[</w:t>
          </w:r>
          <w:hyperlink w:anchor="Cam16" w:history="1">
            <w:r w:rsidR="00665D87" w:rsidRPr="00665D87">
              <w:rPr>
                <w:rFonts w:eastAsia="Times"/>
                <w:noProof/>
                <w:lang w:val="en-US"/>
              </w:rPr>
              <w:t>4</w:t>
            </w:r>
          </w:hyperlink>
          <w:r w:rsidR="00665D87" w:rsidRPr="00665D87">
            <w:rPr>
              <w:rFonts w:eastAsia="Times"/>
              <w:noProof/>
              <w:lang w:val="en-US"/>
            </w:rPr>
            <w:t>]</w:t>
          </w:r>
          <w:r w:rsidR="00870B64">
            <w:rPr>
              <w:rFonts w:eastAsia="Times"/>
              <w:lang w:val="en-US"/>
            </w:rPr>
            <w:fldChar w:fldCharType="end"/>
          </w:r>
        </w:sdtContent>
      </w:sdt>
      <w:r w:rsidR="00870B64">
        <w:rPr>
          <w:rFonts w:eastAsia="Times"/>
          <w:lang w:val="en-US"/>
        </w:rPr>
        <w:t>.</w:t>
      </w:r>
    </w:p>
    <w:p w14:paraId="7A6164BF" w14:textId="102F6079" w:rsidR="008C6615" w:rsidRDefault="00D71329" w:rsidP="00870B64">
      <w:pPr>
        <w:ind w:firstLine="567"/>
        <w:jc w:val="both"/>
        <w:rPr>
          <w:rFonts w:eastAsia="Times"/>
        </w:rPr>
      </w:pPr>
      <w:r w:rsidRPr="00CF67D6">
        <w:rPr>
          <w:rFonts w:eastAsia="Times"/>
        </w:rPr>
        <w:t>.New Normal is a way for people to live their lives differently and coexist with epidemics in life</w:t>
      </w:r>
      <w:r w:rsidR="006474B9" w:rsidRPr="00CF67D6">
        <w:rPr>
          <w:rFonts w:eastAsia="Times"/>
        </w:rPr>
        <w:t>.</w:t>
      </w:r>
      <w:r w:rsidR="00434D33" w:rsidRPr="00434D33">
        <w:t xml:space="preserve"> </w:t>
      </w:r>
      <w:r w:rsidR="00434D33" w:rsidRPr="00434D33">
        <w:rPr>
          <w:rFonts w:eastAsia="Times"/>
        </w:rPr>
        <w:t>Achmad Yurianto stated that the new normal is a new order, habits and behavior based on adaptation to civilize clean and healthy living behavior. The steps that can be done is to regularly wash hands with soap, wear a mask when going out of the house, keep a safe distance and avoid crowds. by implementing these steps the government hopes that these new habits must become a collective awareness in order to work well</w:t>
      </w:r>
      <w:r w:rsidR="00CE3058">
        <w:rPr>
          <w:rFonts w:eastAsia="Times"/>
        </w:rPr>
        <w:t xml:space="preserve"> </w:t>
      </w:r>
      <w:sdt>
        <w:sdtPr>
          <w:rPr>
            <w:rFonts w:eastAsia="Times"/>
          </w:rPr>
          <w:id w:val="-40914103"/>
          <w:citation/>
        </w:sdtPr>
        <w:sdtEndPr/>
        <w:sdtContent>
          <w:r w:rsidR="00434D33">
            <w:rPr>
              <w:rFonts w:eastAsia="Times"/>
            </w:rPr>
            <w:fldChar w:fldCharType="begin"/>
          </w:r>
          <w:r w:rsidR="00434D33">
            <w:rPr>
              <w:rFonts w:eastAsia="Times"/>
              <w:lang w:val="en-US"/>
            </w:rPr>
            <w:instrText xml:space="preserve"> CITATION Kes20 \l 1033 </w:instrText>
          </w:r>
          <w:r w:rsidR="00434D33">
            <w:rPr>
              <w:rFonts w:eastAsia="Times"/>
            </w:rPr>
            <w:fldChar w:fldCharType="separate"/>
          </w:r>
          <w:r w:rsidR="00665D87" w:rsidRPr="00665D87">
            <w:rPr>
              <w:rFonts w:eastAsia="Times"/>
              <w:noProof/>
              <w:lang w:val="en-US"/>
            </w:rPr>
            <w:t>[</w:t>
          </w:r>
          <w:hyperlink w:anchor="Kes20" w:history="1">
            <w:r w:rsidR="00665D87" w:rsidRPr="00665D87">
              <w:rPr>
                <w:rFonts w:eastAsia="Times"/>
                <w:noProof/>
                <w:lang w:val="en-US"/>
              </w:rPr>
              <w:t>5</w:t>
            </w:r>
          </w:hyperlink>
          <w:r w:rsidR="00665D87" w:rsidRPr="00665D87">
            <w:rPr>
              <w:rFonts w:eastAsia="Times"/>
              <w:noProof/>
              <w:lang w:val="en-US"/>
            </w:rPr>
            <w:t>]</w:t>
          </w:r>
          <w:r w:rsidR="00434D33">
            <w:rPr>
              <w:rFonts w:eastAsia="Times"/>
            </w:rPr>
            <w:fldChar w:fldCharType="end"/>
          </w:r>
        </w:sdtContent>
      </w:sdt>
      <w:r w:rsidR="00CE3058">
        <w:rPr>
          <w:rFonts w:eastAsia="Times"/>
        </w:rPr>
        <w:t>.</w:t>
      </w:r>
      <w:r w:rsidR="007B15E7">
        <w:rPr>
          <w:rFonts w:eastAsia="Times"/>
        </w:rPr>
        <w:t xml:space="preserve"> </w:t>
      </w:r>
      <w:r w:rsidR="00F95BBB">
        <w:rPr>
          <w:rFonts w:eastAsia="Times"/>
        </w:rPr>
        <w:t>T</w:t>
      </w:r>
      <w:r w:rsidR="00D22D45" w:rsidRPr="00CF67D6">
        <w:rPr>
          <w:rFonts w:eastAsia="Times"/>
        </w:rPr>
        <w:t>he team leader</w:t>
      </w:r>
      <w:r w:rsidR="00CE3058">
        <w:rPr>
          <w:rFonts w:eastAsia="Times"/>
        </w:rPr>
        <w:t xml:space="preserve"> </w:t>
      </w:r>
      <w:r w:rsidR="00D22D45" w:rsidRPr="00CF67D6">
        <w:rPr>
          <w:rFonts w:eastAsia="Times"/>
        </w:rPr>
        <w:t xml:space="preserve"> of the Task Force for the Acceleration of Covid-19 Handling Wiku Adisasmita said that new normal is a change in behavior to continue normal activities but with the addition of applying health protocols to prevent Covid-19 transmission and this continued until the COVID vaccine 19 found. </w:t>
      </w:r>
      <w:r w:rsidR="00A637C0" w:rsidRPr="00CF67D6">
        <w:rPr>
          <w:rFonts w:eastAsia="Times"/>
        </w:rPr>
        <w:t>E</w:t>
      </w:r>
      <w:r w:rsidR="00D22D45" w:rsidRPr="00CF67D6">
        <w:rPr>
          <w:rFonts w:eastAsia="Times"/>
        </w:rPr>
        <w:t>xpert predicti</w:t>
      </w:r>
      <w:r w:rsidR="00434D33">
        <w:rPr>
          <w:rFonts w:eastAsia="Times"/>
        </w:rPr>
        <w:t>ons when this era ends is 2021</w:t>
      </w:r>
      <w:sdt>
        <w:sdtPr>
          <w:rPr>
            <w:rFonts w:eastAsia="Times"/>
          </w:rPr>
          <w:id w:val="-1020475917"/>
          <w:citation/>
        </w:sdtPr>
        <w:sdtEndPr/>
        <w:sdtContent>
          <w:r w:rsidR="00434D33">
            <w:rPr>
              <w:rFonts w:eastAsia="Times"/>
            </w:rPr>
            <w:fldChar w:fldCharType="begin"/>
          </w:r>
          <w:r w:rsidR="00434D33">
            <w:rPr>
              <w:rFonts w:eastAsia="Times"/>
              <w:lang w:val="en-US"/>
            </w:rPr>
            <w:instrText xml:space="preserve"> CITATION Dan20 \l 1033 </w:instrText>
          </w:r>
          <w:r w:rsidR="00434D33">
            <w:rPr>
              <w:rFonts w:eastAsia="Times"/>
            </w:rPr>
            <w:fldChar w:fldCharType="separate"/>
          </w:r>
          <w:r w:rsidR="00665D87">
            <w:rPr>
              <w:rFonts w:eastAsia="Times"/>
              <w:noProof/>
              <w:lang w:val="en-US"/>
            </w:rPr>
            <w:t xml:space="preserve"> </w:t>
          </w:r>
          <w:r w:rsidR="00665D87" w:rsidRPr="00665D87">
            <w:rPr>
              <w:rFonts w:eastAsia="Times"/>
              <w:noProof/>
              <w:lang w:val="en-US"/>
            </w:rPr>
            <w:t>[</w:t>
          </w:r>
          <w:hyperlink w:anchor="Dan20" w:history="1">
            <w:r w:rsidR="00665D87" w:rsidRPr="00665D87">
              <w:rPr>
                <w:rFonts w:eastAsia="Times"/>
                <w:noProof/>
                <w:lang w:val="en-US"/>
              </w:rPr>
              <w:t>6</w:t>
            </w:r>
          </w:hyperlink>
          <w:r w:rsidR="00665D87" w:rsidRPr="00665D87">
            <w:rPr>
              <w:rFonts w:eastAsia="Times"/>
              <w:noProof/>
              <w:lang w:val="en-US"/>
            </w:rPr>
            <w:t>]</w:t>
          </w:r>
          <w:r w:rsidR="00434D33">
            <w:rPr>
              <w:rFonts w:eastAsia="Times"/>
            </w:rPr>
            <w:fldChar w:fldCharType="end"/>
          </w:r>
        </w:sdtContent>
      </w:sdt>
      <w:r w:rsidR="00AB1CEA">
        <w:rPr>
          <w:rFonts w:eastAsia="Times"/>
        </w:rPr>
        <w:t>.</w:t>
      </w:r>
    </w:p>
    <w:p w14:paraId="6882C8DD" w14:textId="5A521445" w:rsidR="00D85C73" w:rsidRDefault="00D22D45" w:rsidP="00367D4E">
      <w:pPr>
        <w:ind w:firstLine="567"/>
        <w:jc w:val="both"/>
        <w:rPr>
          <w:rFonts w:eastAsia="Times"/>
        </w:rPr>
      </w:pPr>
      <w:r w:rsidRPr="00CF67D6">
        <w:rPr>
          <w:rFonts w:eastAsia="Times"/>
        </w:rPr>
        <w:t>Banking as a state-owned company in Indonesia is also experiencing rapid development, including in terms of Corporate Social Responsibility (CSR). In the last 3 years in Indonesia there were 2 (two) national banks that won the Asia Money award as Best Bank for CSR, namely Bank Mandiri and Bank Rakyat Indonesia (BRI). Asiamoney, a financial publishing company founded in 1989, has now joined the other major capital market publications of Euromoney Institutional Investor Group: Euroweek, Total Securitization and Derivativ</w:t>
      </w:r>
      <w:r w:rsidR="00D85C73">
        <w:rPr>
          <w:rFonts w:eastAsia="Times"/>
        </w:rPr>
        <w:t>es Week, to form Global Capital</w:t>
      </w:r>
      <w:sdt>
        <w:sdtPr>
          <w:rPr>
            <w:rFonts w:eastAsia="Times"/>
          </w:rPr>
          <w:id w:val="-1172561830"/>
          <w:citation/>
        </w:sdtPr>
        <w:sdtEndPr/>
        <w:sdtContent>
          <w:r w:rsidR="00D85C73">
            <w:rPr>
              <w:rFonts w:eastAsia="Times"/>
            </w:rPr>
            <w:fldChar w:fldCharType="begin"/>
          </w:r>
          <w:r w:rsidR="00D85C73">
            <w:rPr>
              <w:rFonts w:eastAsia="Times"/>
              <w:lang w:val="en-US"/>
            </w:rPr>
            <w:instrText xml:space="preserve"> CITATION Asi19 \l 1033 </w:instrText>
          </w:r>
          <w:r w:rsidR="00D85C73">
            <w:rPr>
              <w:rFonts w:eastAsia="Times"/>
            </w:rPr>
            <w:fldChar w:fldCharType="separate"/>
          </w:r>
          <w:r w:rsidR="00665D87">
            <w:rPr>
              <w:rFonts w:eastAsia="Times"/>
              <w:noProof/>
              <w:lang w:val="en-US"/>
            </w:rPr>
            <w:t xml:space="preserve"> </w:t>
          </w:r>
          <w:r w:rsidR="00665D87" w:rsidRPr="00665D87">
            <w:rPr>
              <w:rFonts w:eastAsia="Times"/>
              <w:noProof/>
              <w:lang w:val="en-US"/>
            </w:rPr>
            <w:t>[</w:t>
          </w:r>
          <w:hyperlink w:anchor="Asi19" w:history="1">
            <w:r w:rsidR="00665D87" w:rsidRPr="00665D87">
              <w:rPr>
                <w:rFonts w:eastAsia="Times"/>
                <w:noProof/>
                <w:lang w:val="en-US"/>
              </w:rPr>
              <w:t>7</w:t>
            </w:r>
          </w:hyperlink>
          <w:r w:rsidR="00665D87" w:rsidRPr="00665D87">
            <w:rPr>
              <w:rFonts w:eastAsia="Times"/>
              <w:noProof/>
              <w:lang w:val="en-US"/>
            </w:rPr>
            <w:t>]</w:t>
          </w:r>
          <w:r w:rsidR="00D85C73">
            <w:rPr>
              <w:rFonts w:eastAsia="Times"/>
            </w:rPr>
            <w:fldChar w:fldCharType="end"/>
          </w:r>
        </w:sdtContent>
      </w:sdt>
      <w:r w:rsidR="00D837CD">
        <w:rPr>
          <w:rFonts w:eastAsia="Times"/>
        </w:rPr>
        <w:t>.</w:t>
      </w:r>
    </w:p>
    <w:p w14:paraId="2EBE51F8" w14:textId="14BD6782" w:rsidR="00090FD6" w:rsidRPr="00CF67D6" w:rsidRDefault="00D22D45" w:rsidP="00367D4E">
      <w:pPr>
        <w:ind w:firstLine="567"/>
        <w:jc w:val="both"/>
        <w:rPr>
          <w:rFonts w:eastAsia="Times"/>
        </w:rPr>
      </w:pPr>
      <w:r w:rsidRPr="00CF67D6">
        <w:rPr>
          <w:rFonts w:eastAsia="Times"/>
        </w:rPr>
        <w:t>Global Capital provides daily services dedicated to key market sectors such as: bank finance including closed bonds, corporate bonds, syndicated loans, equity, leverage financing, global market developments, securitization and offshore RMB. Asiamoney offers an analysis of market finance and capital investment, lending, institutional investors, and monetary decision makers of senior companies and governments with busines</w:t>
      </w:r>
      <w:r w:rsidR="00D84D6A" w:rsidRPr="00CF67D6">
        <w:rPr>
          <w:rFonts w:eastAsia="Times"/>
        </w:rPr>
        <w:t>s interests in the Asia Pacific</w:t>
      </w:r>
      <w:sdt>
        <w:sdtPr>
          <w:rPr>
            <w:rFonts w:eastAsia="Times"/>
          </w:rPr>
          <w:id w:val="817296478"/>
          <w:citation/>
        </w:sdtPr>
        <w:sdtEndPr/>
        <w:sdtContent>
          <w:r w:rsidR="002A1BBB">
            <w:rPr>
              <w:rFonts w:eastAsia="Times"/>
            </w:rPr>
            <w:fldChar w:fldCharType="begin"/>
          </w:r>
          <w:r w:rsidR="002A1BBB">
            <w:rPr>
              <w:rFonts w:eastAsia="Times"/>
              <w:lang w:val="en-US"/>
            </w:rPr>
            <w:instrText xml:space="preserve"> CITATION wik20 \l 1033 </w:instrText>
          </w:r>
          <w:r w:rsidR="002A1BBB">
            <w:rPr>
              <w:rFonts w:eastAsia="Times"/>
            </w:rPr>
            <w:fldChar w:fldCharType="separate"/>
          </w:r>
          <w:r w:rsidR="00665D87">
            <w:rPr>
              <w:rFonts w:eastAsia="Times"/>
              <w:noProof/>
              <w:lang w:val="en-US"/>
            </w:rPr>
            <w:t xml:space="preserve"> </w:t>
          </w:r>
          <w:r w:rsidR="00665D87" w:rsidRPr="00665D87">
            <w:rPr>
              <w:rFonts w:eastAsia="Times"/>
              <w:noProof/>
              <w:lang w:val="en-US"/>
            </w:rPr>
            <w:t>[</w:t>
          </w:r>
          <w:hyperlink w:anchor="wik20" w:history="1">
            <w:r w:rsidR="00665D87" w:rsidRPr="00665D87">
              <w:rPr>
                <w:rFonts w:eastAsia="Times"/>
                <w:noProof/>
                <w:lang w:val="en-US"/>
              </w:rPr>
              <w:t>8</w:t>
            </w:r>
          </w:hyperlink>
          <w:r w:rsidR="00665D87" w:rsidRPr="00665D87">
            <w:rPr>
              <w:rFonts w:eastAsia="Times"/>
              <w:noProof/>
              <w:lang w:val="en-US"/>
            </w:rPr>
            <w:t>]</w:t>
          </w:r>
          <w:r w:rsidR="002A1BBB">
            <w:rPr>
              <w:rFonts w:eastAsia="Times"/>
            </w:rPr>
            <w:fldChar w:fldCharType="end"/>
          </w:r>
        </w:sdtContent>
      </w:sdt>
    </w:p>
    <w:p w14:paraId="441A34F7" w14:textId="5613E25E" w:rsidR="006474B9" w:rsidRPr="00CF67D6" w:rsidRDefault="006474B9" w:rsidP="00A713FF">
      <w:pPr>
        <w:ind w:firstLine="567"/>
        <w:jc w:val="both"/>
        <w:rPr>
          <w:rFonts w:eastAsia="Times"/>
        </w:rPr>
      </w:pPr>
      <w:r w:rsidRPr="00CF67D6">
        <w:rPr>
          <w:rFonts w:eastAsia="Times"/>
        </w:rPr>
        <w:t>Bank Mandiri is a Bank Indonesia that received the Best Bank for CSR in Indonesia in 2017 in the Asia Money version</w:t>
      </w:r>
      <w:r w:rsidR="00AB1CEA">
        <w:rPr>
          <w:rFonts w:eastAsia="Times"/>
        </w:rPr>
        <w:t>.</w:t>
      </w:r>
      <w:r w:rsidRPr="00CF67D6">
        <w:rPr>
          <w:rFonts w:eastAsia="Times"/>
        </w:rPr>
        <w:t xml:space="preserve"> Bank Mandiri as one of the BUMNs that provide leading public services in Indonesia, from disaster relief to improving health and economic care standards for remote tribes, the Mandiri CSR charter is focused on developing business and financial literacy in 17,000 islands. The Mandiri Initiative is very diverse because it is spread throughout Indonesia</w:t>
      </w:r>
      <w:r w:rsidR="005F78CE" w:rsidRPr="00CF67D6">
        <w:rPr>
          <w:rFonts w:eastAsia="Times"/>
        </w:rPr>
        <w:t>.</w:t>
      </w:r>
      <w:r w:rsidRPr="00CF67D6">
        <w:rPr>
          <w:rFonts w:eastAsia="Times"/>
        </w:rPr>
        <w:t>In southern Sumatra, Mandiri supports a training program for local Batik artisans to turn their skills into businesses. In Southeast Sulawesi, a community empowerment program for Bajo people who sailed to develop their way of life became an ecotourism. In North Lombok, Mandiri has supported what it describes as "cultural acculturation" of Hinduism, Animism and Islam into sustainable tourism programs that focus on the region's unique heritage. The Mandiri business orientation program has been attended by 36,000 young entrepreneurs from all over Indonesia who, it is hoped, will become Mandiri customers</w:t>
      </w:r>
      <w:r w:rsidR="00D84D6A" w:rsidRPr="00CF67D6">
        <w:rPr>
          <w:rFonts w:eastAsia="Times"/>
          <w:lang w:val="id-ID"/>
        </w:rPr>
        <w:t xml:space="preserve"> </w:t>
      </w:r>
      <w:sdt>
        <w:sdtPr>
          <w:rPr>
            <w:rFonts w:eastAsia="Times"/>
            <w:lang w:val="id-ID"/>
          </w:rPr>
          <w:id w:val="-245115179"/>
          <w:citation/>
        </w:sdtPr>
        <w:sdtEndPr/>
        <w:sdtContent>
          <w:r w:rsidR="00D84D6A" w:rsidRPr="00CF67D6">
            <w:rPr>
              <w:rFonts w:eastAsia="Times"/>
              <w:lang w:val="id-ID"/>
            </w:rPr>
            <w:fldChar w:fldCharType="begin"/>
          </w:r>
          <w:r w:rsidR="00D84D6A" w:rsidRPr="00CF67D6">
            <w:rPr>
              <w:rFonts w:eastAsia="Times"/>
              <w:lang w:val="id-ID"/>
            </w:rPr>
            <w:instrText xml:space="preserve"> CITATION Ban19 \l 1057 </w:instrText>
          </w:r>
          <w:r w:rsidR="00D84D6A" w:rsidRPr="00CF67D6">
            <w:rPr>
              <w:rFonts w:eastAsia="Times"/>
              <w:lang w:val="id-ID"/>
            </w:rPr>
            <w:fldChar w:fldCharType="separate"/>
          </w:r>
          <w:r w:rsidR="00665D87" w:rsidRPr="00665D87">
            <w:rPr>
              <w:rFonts w:eastAsia="Times"/>
              <w:noProof/>
              <w:lang w:val="id-ID"/>
            </w:rPr>
            <w:t>[</w:t>
          </w:r>
          <w:hyperlink w:anchor="Ban19" w:history="1">
            <w:r w:rsidR="00665D87" w:rsidRPr="00665D87">
              <w:rPr>
                <w:rFonts w:eastAsia="Times"/>
                <w:noProof/>
                <w:lang w:val="id-ID"/>
              </w:rPr>
              <w:t>9</w:t>
            </w:r>
          </w:hyperlink>
          <w:r w:rsidR="00665D87" w:rsidRPr="00665D87">
            <w:rPr>
              <w:rFonts w:eastAsia="Times"/>
              <w:noProof/>
              <w:lang w:val="id-ID"/>
            </w:rPr>
            <w:t>]</w:t>
          </w:r>
          <w:r w:rsidR="00D84D6A" w:rsidRPr="00CF67D6">
            <w:rPr>
              <w:rFonts w:eastAsia="Times"/>
              <w:lang w:val="id-ID"/>
            </w:rPr>
            <w:fldChar w:fldCharType="end"/>
          </w:r>
        </w:sdtContent>
      </w:sdt>
      <w:r w:rsidRPr="00CF67D6">
        <w:rPr>
          <w:rFonts w:eastAsia="Times"/>
        </w:rPr>
        <w:t xml:space="preserve">. </w:t>
      </w:r>
    </w:p>
    <w:p w14:paraId="4EDDEE5F" w14:textId="221A6B7E" w:rsidR="006474B9" w:rsidRPr="00CF67D6" w:rsidRDefault="006474B9" w:rsidP="00AB1CEA">
      <w:pPr>
        <w:ind w:firstLine="567"/>
        <w:jc w:val="both"/>
        <w:rPr>
          <w:rFonts w:eastAsia="Times"/>
        </w:rPr>
      </w:pPr>
      <w:r w:rsidRPr="00CF67D6">
        <w:rPr>
          <w:rFonts w:eastAsia="Times"/>
        </w:rPr>
        <w:t>Then in 2018 and 2019 the Best Bank for CSR award was given to Bank Rakyat Indonesia (BRI).</w:t>
      </w:r>
      <w:r w:rsidR="004625DC" w:rsidRPr="00CF67D6">
        <w:rPr>
          <w:rFonts w:eastAsia="Times"/>
        </w:rPr>
        <w:t xml:space="preserve"> </w:t>
      </w:r>
      <w:r w:rsidRPr="00CF67D6">
        <w:rPr>
          <w:rFonts w:eastAsia="Times"/>
        </w:rPr>
        <w:t>BRI promotes strategic programs, builds partnerships and starts projects to build green business models, financial inclusion and literacy that emphasize cashless transactions by developing e-channel networks to increase awareness of non-cash trading.</w:t>
      </w:r>
      <w:r w:rsidR="00CF67D6">
        <w:rPr>
          <w:rFonts w:eastAsia="Times"/>
        </w:rPr>
        <w:t xml:space="preserve"> </w:t>
      </w:r>
      <w:r w:rsidRPr="00CF67D6">
        <w:rPr>
          <w:rFonts w:eastAsia="Times"/>
        </w:rPr>
        <w:t xml:space="preserve">BRI </w:t>
      </w:r>
      <w:r w:rsidRPr="00CF67D6">
        <w:rPr>
          <w:rFonts w:eastAsia="Times"/>
        </w:rPr>
        <w:lastRenderedPageBreak/>
        <w:t xml:space="preserve">offers BRILink branchless banking services, which are operated directly by customers. </w:t>
      </w:r>
      <w:r w:rsidR="00AB1CEA">
        <w:rPr>
          <w:rFonts w:eastAsia="Times"/>
        </w:rPr>
        <w:t xml:space="preserve"> </w:t>
      </w:r>
      <w:r w:rsidRPr="00CF67D6">
        <w:rPr>
          <w:rFonts w:eastAsia="Times"/>
        </w:rPr>
        <w:t>At the end of 2018, BRI had 401,550 BRILink agents, or 5.7% more than the 380,000 target, this ensured that BRI was able to increase financial inclusion. BRI as a state-owned company supports government programs that focus on improving the welfare of the community through loans and grants. In addition, banks provide financing for the green sector and only companies that have an environmental impact assessment document and a minimum blue rating under the Ministry of E</w:t>
      </w:r>
      <w:r w:rsidR="00443A4E">
        <w:rPr>
          <w:rFonts w:eastAsia="Times"/>
        </w:rPr>
        <w:t>nvironment and Forestry program</w:t>
      </w:r>
      <w:r w:rsidR="00F07184">
        <w:rPr>
          <w:rFonts w:eastAsia="Times"/>
        </w:rPr>
        <w:t xml:space="preserve"> </w:t>
      </w:r>
      <w:sdt>
        <w:sdtPr>
          <w:rPr>
            <w:rFonts w:eastAsia="Times"/>
          </w:rPr>
          <w:id w:val="1923833455"/>
          <w:citation/>
        </w:sdtPr>
        <w:sdtEndPr/>
        <w:sdtContent>
          <w:r w:rsidR="00F07184">
            <w:rPr>
              <w:rFonts w:eastAsia="Times"/>
            </w:rPr>
            <w:fldChar w:fldCharType="begin"/>
          </w:r>
          <w:r w:rsidR="00F07184">
            <w:rPr>
              <w:rFonts w:eastAsia="Times"/>
              <w:lang w:val="en-US"/>
            </w:rPr>
            <w:instrText xml:space="preserve"> CITATION oke19 \l 1033 </w:instrText>
          </w:r>
          <w:r w:rsidR="00F07184">
            <w:rPr>
              <w:rFonts w:eastAsia="Times"/>
            </w:rPr>
            <w:fldChar w:fldCharType="separate"/>
          </w:r>
          <w:r w:rsidR="00665D87" w:rsidRPr="00665D87">
            <w:rPr>
              <w:rFonts w:eastAsia="Times"/>
              <w:noProof/>
              <w:lang w:val="en-US"/>
            </w:rPr>
            <w:t>[</w:t>
          </w:r>
          <w:hyperlink w:anchor="oke19" w:history="1">
            <w:r w:rsidR="00665D87" w:rsidRPr="00665D87">
              <w:rPr>
                <w:rFonts w:eastAsia="Times"/>
                <w:noProof/>
                <w:lang w:val="en-US"/>
              </w:rPr>
              <w:t>10</w:t>
            </w:r>
          </w:hyperlink>
          <w:r w:rsidR="00665D87" w:rsidRPr="00665D87">
            <w:rPr>
              <w:rFonts w:eastAsia="Times"/>
              <w:noProof/>
              <w:lang w:val="en-US"/>
            </w:rPr>
            <w:t>]</w:t>
          </w:r>
          <w:r w:rsidR="00F07184">
            <w:rPr>
              <w:rFonts w:eastAsia="Times"/>
            </w:rPr>
            <w:fldChar w:fldCharType="end"/>
          </w:r>
        </w:sdtContent>
      </w:sdt>
      <w:r w:rsidR="00F07184">
        <w:rPr>
          <w:rFonts w:eastAsia="Times"/>
        </w:rPr>
        <w:t>.</w:t>
      </w:r>
    </w:p>
    <w:p w14:paraId="6AF7FF32" w14:textId="0662B09B" w:rsidR="004625DC" w:rsidRPr="00CF67D6" w:rsidRDefault="006474B9" w:rsidP="00CF67D6">
      <w:pPr>
        <w:ind w:firstLine="567"/>
        <w:jc w:val="both"/>
        <w:rPr>
          <w:rFonts w:eastAsia="Times"/>
        </w:rPr>
      </w:pPr>
      <w:r w:rsidRPr="00CF67D6">
        <w:rPr>
          <w:rFonts w:eastAsia="Times"/>
        </w:rPr>
        <w:t>BRI also provides funds for private companies that produce new and renewable energy, such as solar power plants and hydroelectric power plants. BRI provided a Rp2.8 trillion ($ 197 million) loan in funding for the ren</w:t>
      </w:r>
      <w:r w:rsidR="004625DC" w:rsidRPr="00CF67D6">
        <w:rPr>
          <w:rFonts w:eastAsia="Times"/>
        </w:rPr>
        <w:t xml:space="preserve">ewable energy sector last year. </w:t>
      </w:r>
      <w:r w:rsidRPr="00CF67D6">
        <w:rPr>
          <w:rFonts w:eastAsia="Times"/>
        </w:rPr>
        <w:t>In addition, in November 2018 BRI developed a sustainable financial action plan, which includes short-term and long-term goals for the next five years. In 2019, the bank will focus on issuing sustainable bonds, providing ongoing financial training and education for employees and customers and reducing plastic consumption</w:t>
      </w:r>
      <w:sdt>
        <w:sdtPr>
          <w:rPr>
            <w:rFonts w:eastAsia="Times"/>
          </w:rPr>
          <w:id w:val="1127355826"/>
          <w:citation/>
        </w:sdtPr>
        <w:sdtEndPr/>
        <w:sdtContent>
          <w:r w:rsidR="002B346E">
            <w:rPr>
              <w:rFonts w:eastAsia="Times"/>
            </w:rPr>
            <w:fldChar w:fldCharType="begin"/>
          </w:r>
          <w:r w:rsidR="002B346E">
            <w:rPr>
              <w:rFonts w:eastAsia="Times"/>
              <w:lang w:val="en-US"/>
            </w:rPr>
            <w:instrText xml:space="preserve"> CITATION Ind19 \l 1033 </w:instrText>
          </w:r>
          <w:r w:rsidR="002B346E">
            <w:rPr>
              <w:rFonts w:eastAsia="Times"/>
            </w:rPr>
            <w:fldChar w:fldCharType="separate"/>
          </w:r>
          <w:r w:rsidR="00665D87">
            <w:rPr>
              <w:rFonts w:eastAsia="Times"/>
              <w:noProof/>
              <w:lang w:val="en-US"/>
            </w:rPr>
            <w:t xml:space="preserve"> </w:t>
          </w:r>
          <w:r w:rsidR="00665D87" w:rsidRPr="00665D87">
            <w:rPr>
              <w:rFonts w:eastAsia="Times"/>
              <w:noProof/>
              <w:lang w:val="en-US"/>
            </w:rPr>
            <w:t>[</w:t>
          </w:r>
          <w:hyperlink w:anchor="Ind19" w:history="1">
            <w:r w:rsidR="00665D87" w:rsidRPr="00665D87">
              <w:rPr>
                <w:rFonts w:eastAsia="Times"/>
                <w:noProof/>
                <w:lang w:val="en-US"/>
              </w:rPr>
              <w:t>11</w:t>
            </w:r>
          </w:hyperlink>
          <w:r w:rsidR="00665D87" w:rsidRPr="00665D87">
            <w:rPr>
              <w:rFonts w:eastAsia="Times"/>
              <w:noProof/>
              <w:lang w:val="en-US"/>
            </w:rPr>
            <w:t>]</w:t>
          </w:r>
          <w:r w:rsidR="002B346E">
            <w:rPr>
              <w:rFonts w:eastAsia="Times"/>
            </w:rPr>
            <w:fldChar w:fldCharType="end"/>
          </w:r>
        </w:sdtContent>
      </w:sdt>
    </w:p>
    <w:p w14:paraId="06DDD684" w14:textId="3CD7A6AC" w:rsidR="004625DC" w:rsidRPr="00CF67D6" w:rsidRDefault="004625DC" w:rsidP="00A713FF">
      <w:pPr>
        <w:ind w:firstLine="567"/>
        <w:jc w:val="both"/>
        <w:rPr>
          <w:rFonts w:eastAsia="Times"/>
        </w:rPr>
      </w:pPr>
      <w:r w:rsidRPr="00CF67D6">
        <w:rPr>
          <w:rFonts w:eastAsia="Times"/>
        </w:rPr>
        <w:t xml:space="preserve">John, Foss and Oetzel </w:t>
      </w:r>
      <w:r w:rsidR="0029497E" w:rsidRPr="00CF67D6">
        <w:rPr>
          <w:rFonts w:eastAsia="Times"/>
          <w:lang w:val="id-ID"/>
        </w:rPr>
        <w:t>explained</w:t>
      </w:r>
      <w:r w:rsidRPr="00CF67D6">
        <w:rPr>
          <w:rFonts w:eastAsia="Times"/>
        </w:rPr>
        <w:t xml:space="preserve"> in general external party communication theories generally originate from two different lenses. On the one hand, several theories identify ways organizations can use communication strategically to manage reputation and maintain competitive advantage and on the other hand, theories explore how organizations can interact with stakeholders to create effective and effective relationships. sustainable in order to "do good" for the community. In his book entitled "The Theoris of Human Communication" introduces three external stakeholder communication</w:t>
      </w:r>
      <w:bookmarkStart w:id="0" w:name="_GoBack"/>
      <w:bookmarkEnd w:id="0"/>
      <w:r w:rsidRPr="00CF67D6">
        <w:rPr>
          <w:rFonts w:eastAsia="Times"/>
        </w:rPr>
        <w:t xml:space="preserve"> theories: (1) situation</w:t>
      </w:r>
      <w:r w:rsidR="00531A2A">
        <w:rPr>
          <w:rFonts w:eastAsia="Times"/>
        </w:rPr>
        <w:t xml:space="preserve">al crisis communication theory, </w:t>
      </w:r>
      <w:r w:rsidRPr="00CF67D6">
        <w:rPr>
          <w:rFonts w:eastAsia="Times"/>
        </w:rPr>
        <w:t>(2) the corporate social responsib</w:t>
      </w:r>
      <w:r w:rsidR="00531A2A">
        <w:rPr>
          <w:rFonts w:eastAsia="Times"/>
        </w:rPr>
        <w:t>ility (CSR) communication model,</w:t>
      </w:r>
      <w:r w:rsidRPr="00CF67D6">
        <w:rPr>
          <w:rFonts w:eastAsia="Times"/>
        </w:rPr>
        <w:t xml:space="preserve"> and (3) fully functioning theory of society</w:t>
      </w:r>
      <w:r w:rsidR="00EC67CC" w:rsidRPr="00CF67D6">
        <w:rPr>
          <w:rFonts w:eastAsia="Times"/>
          <w:lang w:val="id-ID"/>
        </w:rPr>
        <w:t>.</w:t>
      </w:r>
    </w:p>
    <w:p w14:paraId="2CE729E4" w14:textId="603DA67A" w:rsidR="004625DC" w:rsidRPr="00CF67D6" w:rsidRDefault="004625DC" w:rsidP="004625DC">
      <w:pPr>
        <w:ind w:firstLine="360"/>
        <w:jc w:val="both"/>
        <w:rPr>
          <w:rFonts w:eastAsia="Times"/>
        </w:rPr>
      </w:pPr>
      <w:r w:rsidRPr="00CF67D6">
        <w:rPr>
          <w:rFonts w:eastAsia="Times"/>
        </w:rPr>
        <w:t>This discussion focuses on the second theory, namely discussion on Corporate Social Responsibility (CSR). Corporate social responsibility has traditionally been the domain of business and mana</w:t>
      </w:r>
      <w:r w:rsidR="00EC67CC" w:rsidRPr="00CF67D6">
        <w:rPr>
          <w:rFonts w:eastAsia="Times"/>
        </w:rPr>
        <w:t xml:space="preserve">gement scholars. May, Cheney and </w:t>
      </w:r>
      <w:r w:rsidRPr="00CF67D6">
        <w:rPr>
          <w:rFonts w:eastAsia="Times"/>
        </w:rPr>
        <w:t>Roper reviewed four theories about CSR. First, Shareholder Value Theory points out that CSR is important to companies only to the extent that it helps the company generate profits for its shareholders or is required by law and thus helps to avoid costs. Second, the perspective of Corporate Social Performance which believes that businesses have economic and social responsibilities. In addition to wealth created for investors, businesses have ethical responsibilities to overcome the negative consequences besides economic and legal costs. Third, Corporate Citizenship is a theoretical perspective which shows that companies are citizens of their community and thus need to pay attention to various stakeholder interests and to promote good intentions, and fourthly, Corporate Citizenship Theory includes the perspective that companies have an obligation to interact with and respond to groups support groups (stakeholders) outs</w:t>
      </w:r>
      <w:r w:rsidR="00EC67CC" w:rsidRPr="00CF67D6">
        <w:rPr>
          <w:rFonts w:eastAsia="Times"/>
        </w:rPr>
        <w:t>ide the fair shareholder</w:t>
      </w:r>
      <w:sdt>
        <w:sdtPr>
          <w:rPr>
            <w:rFonts w:eastAsia="Times"/>
          </w:rPr>
          <w:id w:val="-1514144748"/>
          <w:citation/>
        </w:sdtPr>
        <w:sdtEndPr/>
        <w:sdtContent>
          <w:r w:rsidR="00EC67CC" w:rsidRPr="00CF67D6">
            <w:rPr>
              <w:rFonts w:eastAsia="Times"/>
            </w:rPr>
            <w:fldChar w:fldCharType="begin"/>
          </w:r>
          <w:r w:rsidR="00EC67CC" w:rsidRPr="00CF67D6">
            <w:rPr>
              <w:rFonts w:eastAsia="Times"/>
              <w:lang w:val="id-ID"/>
            </w:rPr>
            <w:instrText xml:space="preserve"> CITATION Ste07 \l 1057 </w:instrText>
          </w:r>
          <w:r w:rsidR="00EC67CC" w:rsidRPr="00CF67D6">
            <w:rPr>
              <w:rFonts w:eastAsia="Times"/>
            </w:rPr>
            <w:fldChar w:fldCharType="separate"/>
          </w:r>
          <w:r w:rsidR="00665D87">
            <w:rPr>
              <w:rFonts w:eastAsia="Times"/>
              <w:noProof/>
              <w:lang w:val="id-ID"/>
            </w:rPr>
            <w:t xml:space="preserve"> </w:t>
          </w:r>
          <w:r w:rsidR="00665D87" w:rsidRPr="00665D87">
            <w:rPr>
              <w:rFonts w:eastAsia="Times"/>
              <w:noProof/>
              <w:lang w:val="id-ID"/>
            </w:rPr>
            <w:t>[</w:t>
          </w:r>
          <w:hyperlink w:anchor="Ste07" w:history="1">
            <w:r w:rsidR="00665D87" w:rsidRPr="00665D87">
              <w:rPr>
                <w:rFonts w:eastAsia="Times"/>
                <w:noProof/>
                <w:lang w:val="id-ID"/>
              </w:rPr>
              <w:t>12</w:t>
            </w:r>
          </w:hyperlink>
          <w:r w:rsidR="00665D87" w:rsidRPr="00665D87">
            <w:rPr>
              <w:rFonts w:eastAsia="Times"/>
              <w:noProof/>
              <w:lang w:val="id-ID"/>
            </w:rPr>
            <w:t>]</w:t>
          </w:r>
          <w:r w:rsidR="00EC67CC" w:rsidRPr="00CF67D6">
            <w:rPr>
              <w:rFonts w:eastAsia="Times"/>
            </w:rPr>
            <w:fldChar w:fldCharType="end"/>
          </w:r>
        </w:sdtContent>
      </w:sdt>
    </w:p>
    <w:p w14:paraId="174A0E11" w14:textId="62E26AFF" w:rsidR="008C6615" w:rsidRDefault="004625DC" w:rsidP="009208F2">
      <w:pPr>
        <w:ind w:firstLine="720"/>
        <w:jc w:val="both"/>
        <w:rPr>
          <w:rFonts w:eastAsia="Times"/>
        </w:rPr>
      </w:pPr>
      <w:r w:rsidRPr="00CF67D6">
        <w:rPr>
          <w:rFonts w:eastAsia="Times"/>
        </w:rPr>
        <w:t xml:space="preserve">From the four theories offered as a form of external stakeholder communication, the authors chose 2 (two) theories as the basis for the implementation of CSR carried out by the two banks, namely Corporate Social Performance and Corporate Citizenship. Based on the discussion above, why the authors are interested in examining the implementation of Corporate Social Responsibility (CSR) in the 2 (two) National Banks using a comparative study and its relation to the theory of Corporate Social Performance and Corporate Citizenship. The limitation in this study is from 2017 to July 2020, this is because the existing Corporate Social Responsibility (CSR) data is a continuation from previous years to entering the new normal period. </w:t>
      </w:r>
    </w:p>
    <w:p w14:paraId="26E9D624" w14:textId="77777777" w:rsidR="00870B64" w:rsidRPr="00CF67D6" w:rsidRDefault="00870B64" w:rsidP="009208F2">
      <w:pPr>
        <w:ind w:firstLine="720"/>
        <w:jc w:val="both"/>
        <w:rPr>
          <w:rFonts w:eastAsia="Times"/>
        </w:rPr>
      </w:pPr>
    </w:p>
    <w:p w14:paraId="03485147" w14:textId="77777777" w:rsidR="00CF67D6" w:rsidRPr="00CF67D6" w:rsidRDefault="00CF67D6" w:rsidP="00CF67D6">
      <w:pPr>
        <w:jc w:val="both"/>
        <w:rPr>
          <w:rFonts w:eastAsia="Times"/>
        </w:rPr>
      </w:pPr>
    </w:p>
    <w:p w14:paraId="5A8B598E" w14:textId="1B2A88D2" w:rsidR="005F78CE" w:rsidRPr="00CF67D6" w:rsidRDefault="004625DC" w:rsidP="005F78CE">
      <w:pPr>
        <w:pStyle w:val="ListParagraph"/>
        <w:numPr>
          <w:ilvl w:val="0"/>
          <w:numId w:val="2"/>
        </w:numPr>
        <w:ind w:left="284" w:hanging="284"/>
        <w:jc w:val="both"/>
        <w:rPr>
          <w:rFonts w:eastAsia="Times"/>
          <w:b/>
          <w:sz w:val="24"/>
          <w:szCs w:val="24"/>
        </w:rPr>
      </w:pPr>
      <w:r w:rsidRPr="00CF67D6">
        <w:rPr>
          <w:rFonts w:eastAsia="Times"/>
          <w:b/>
          <w:sz w:val="24"/>
          <w:szCs w:val="24"/>
        </w:rPr>
        <w:lastRenderedPageBreak/>
        <w:t>Research Method</w:t>
      </w:r>
    </w:p>
    <w:p w14:paraId="7CF894F0" w14:textId="77777777" w:rsidR="005F78CE" w:rsidRPr="00CF67D6" w:rsidRDefault="005F78CE" w:rsidP="005F78CE">
      <w:pPr>
        <w:pStyle w:val="ListParagraph"/>
        <w:ind w:left="284"/>
        <w:jc w:val="both"/>
        <w:rPr>
          <w:rFonts w:eastAsia="Times"/>
          <w:b/>
          <w:sz w:val="24"/>
          <w:szCs w:val="24"/>
        </w:rPr>
      </w:pPr>
    </w:p>
    <w:p w14:paraId="7D5E68A4" w14:textId="01CA873A" w:rsidR="004625DC" w:rsidRPr="00CF67D6" w:rsidRDefault="004625DC" w:rsidP="00090FD6">
      <w:pPr>
        <w:ind w:firstLine="567"/>
        <w:jc w:val="both"/>
        <w:rPr>
          <w:rFonts w:eastAsia="Times"/>
        </w:rPr>
      </w:pPr>
      <w:r w:rsidRPr="00CF67D6">
        <w:rPr>
          <w:rFonts w:eastAsia="Times"/>
        </w:rPr>
        <w:t>The method used in this study is a comparative method. In recent years, comparative research in communication has gained a substantial basis. On the one hand, this can be interpreted as a sign of communication science is becoming mature as a research discipline. On the other hand, both in terms of quantity and quality, comparative communication research lags behind other disciplines, such as political science and sociology. The problem in conducting comparative empirical research is to ensure equality, namely the ability to collect data legally which can indeed be compared between various context and to avoid bias in measurements, instruments and sampling</w:t>
      </w:r>
      <w:r w:rsidR="00EC67CC" w:rsidRPr="00CF67D6">
        <w:rPr>
          <w:rFonts w:eastAsia="Times"/>
          <w:lang w:val="id-ID"/>
        </w:rPr>
        <w:t xml:space="preserve"> </w:t>
      </w:r>
      <w:sdt>
        <w:sdtPr>
          <w:rPr>
            <w:rFonts w:eastAsia="Times"/>
            <w:lang w:val="id-ID"/>
          </w:rPr>
          <w:id w:val="1454674270"/>
          <w:citation/>
        </w:sdtPr>
        <w:sdtEndPr/>
        <w:sdtContent>
          <w:r w:rsidR="00EC67CC" w:rsidRPr="00CF67D6">
            <w:rPr>
              <w:rFonts w:eastAsia="Times"/>
              <w:lang w:val="id-ID"/>
            </w:rPr>
            <w:fldChar w:fldCharType="begin"/>
          </w:r>
          <w:r w:rsidR="00361107" w:rsidRPr="00CF67D6">
            <w:rPr>
              <w:rFonts w:eastAsia="Times"/>
              <w:lang w:val="id-ID"/>
            </w:rPr>
            <w:instrText xml:space="preserve">CITATION Rou17 \l 1057 </w:instrText>
          </w:r>
          <w:r w:rsidR="00EC67CC" w:rsidRPr="00CF67D6">
            <w:rPr>
              <w:rFonts w:eastAsia="Times"/>
              <w:lang w:val="id-ID"/>
            </w:rPr>
            <w:fldChar w:fldCharType="separate"/>
          </w:r>
          <w:r w:rsidR="00665D87" w:rsidRPr="00665D87">
            <w:rPr>
              <w:rFonts w:eastAsia="Times"/>
              <w:noProof/>
              <w:lang w:val="id-ID"/>
            </w:rPr>
            <w:t>[</w:t>
          </w:r>
          <w:hyperlink w:anchor="Rou17" w:history="1">
            <w:r w:rsidR="00665D87" w:rsidRPr="00665D87">
              <w:rPr>
                <w:rFonts w:eastAsia="Times"/>
                <w:noProof/>
                <w:lang w:val="id-ID"/>
              </w:rPr>
              <w:t>13</w:t>
            </w:r>
          </w:hyperlink>
          <w:r w:rsidR="00665D87" w:rsidRPr="00665D87">
            <w:rPr>
              <w:rFonts w:eastAsia="Times"/>
              <w:noProof/>
              <w:lang w:val="id-ID"/>
            </w:rPr>
            <w:t>]</w:t>
          </w:r>
          <w:r w:rsidR="00EC67CC" w:rsidRPr="00CF67D6">
            <w:rPr>
              <w:rFonts w:eastAsia="Times"/>
              <w:lang w:val="id-ID"/>
            </w:rPr>
            <w:fldChar w:fldCharType="end"/>
          </w:r>
        </w:sdtContent>
      </w:sdt>
      <w:r w:rsidRPr="00CF67D6">
        <w:rPr>
          <w:rFonts w:eastAsia="Times"/>
        </w:rPr>
        <w:t>.</w:t>
      </w:r>
    </w:p>
    <w:p w14:paraId="7EED18F6" w14:textId="77777777" w:rsidR="007B15E7" w:rsidRDefault="00A713FF" w:rsidP="00870B64">
      <w:pPr>
        <w:ind w:firstLine="567"/>
        <w:jc w:val="both"/>
        <w:rPr>
          <w:rFonts w:eastAsia="Times"/>
        </w:rPr>
      </w:pPr>
      <w:r w:rsidRPr="00CF67D6">
        <w:rPr>
          <w:rFonts w:eastAsia="Times"/>
        </w:rPr>
        <w:t xml:space="preserve">Esser and Hanitzsch conclude that comparative communication research involves a comparison between at least two macro-level cases (system, culture, market, or sub-elements) of at least one investigation object relevant to the field of communication. Comparative research differs from non-comparative work in an attempt to reach conclusions beyond a single case and explain the differences and similarities between objects of analysis and the relationship between objects </w:t>
      </w:r>
      <w:r w:rsidR="00361107" w:rsidRPr="00CF67D6">
        <w:rPr>
          <w:rFonts w:eastAsia="Times"/>
        </w:rPr>
        <w:t>and their contextual background</w:t>
      </w:r>
      <w:sdt>
        <w:sdtPr>
          <w:rPr>
            <w:rFonts w:eastAsia="Times"/>
          </w:rPr>
          <w:id w:val="211082287"/>
          <w:citation/>
        </w:sdtPr>
        <w:sdtEndPr/>
        <w:sdtContent>
          <w:r w:rsidR="00361107" w:rsidRPr="00CF67D6">
            <w:rPr>
              <w:rFonts w:eastAsia="Times"/>
            </w:rPr>
            <w:fldChar w:fldCharType="begin"/>
          </w:r>
          <w:r w:rsidR="00361107" w:rsidRPr="00CF67D6">
            <w:rPr>
              <w:rFonts w:eastAsia="Times"/>
              <w:lang w:val="id-ID"/>
            </w:rPr>
            <w:instrText xml:space="preserve"> CITATION Fra12 \l 1057 </w:instrText>
          </w:r>
          <w:r w:rsidR="00361107" w:rsidRPr="00CF67D6">
            <w:rPr>
              <w:rFonts w:eastAsia="Times"/>
            </w:rPr>
            <w:fldChar w:fldCharType="separate"/>
          </w:r>
          <w:r w:rsidR="00665D87">
            <w:rPr>
              <w:rFonts w:eastAsia="Times"/>
              <w:noProof/>
              <w:lang w:val="id-ID"/>
            </w:rPr>
            <w:t xml:space="preserve"> </w:t>
          </w:r>
          <w:r w:rsidR="00665D87" w:rsidRPr="00665D87">
            <w:rPr>
              <w:rFonts w:eastAsia="Times"/>
              <w:noProof/>
              <w:lang w:val="id-ID"/>
            </w:rPr>
            <w:t>[</w:t>
          </w:r>
          <w:hyperlink w:anchor="Fra12" w:history="1">
            <w:r w:rsidR="00665D87" w:rsidRPr="00665D87">
              <w:rPr>
                <w:rFonts w:eastAsia="Times"/>
                <w:noProof/>
                <w:lang w:val="id-ID"/>
              </w:rPr>
              <w:t>14</w:t>
            </w:r>
          </w:hyperlink>
          <w:r w:rsidR="00665D87" w:rsidRPr="00665D87">
            <w:rPr>
              <w:rFonts w:eastAsia="Times"/>
              <w:noProof/>
              <w:lang w:val="id-ID"/>
            </w:rPr>
            <w:t>]</w:t>
          </w:r>
          <w:r w:rsidR="00361107" w:rsidRPr="00CF67D6">
            <w:rPr>
              <w:rFonts w:eastAsia="Times"/>
            </w:rPr>
            <w:fldChar w:fldCharType="end"/>
          </w:r>
        </w:sdtContent>
      </w:sdt>
      <w:r w:rsidR="00726720">
        <w:rPr>
          <w:rFonts w:eastAsia="Times"/>
        </w:rPr>
        <w:t xml:space="preserve">. </w:t>
      </w:r>
    </w:p>
    <w:p w14:paraId="5DB3FC3D" w14:textId="68E38B27" w:rsidR="00A713FF" w:rsidRPr="00726720" w:rsidRDefault="00726720" w:rsidP="00870B64">
      <w:pPr>
        <w:ind w:firstLine="567"/>
        <w:jc w:val="both"/>
        <w:rPr>
          <w:rFonts w:eastAsia="Times"/>
          <w:lang w:val="id-ID"/>
        </w:rPr>
      </w:pPr>
      <w:r>
        <w:rPr>
          <w:rFonts w:eastAsia="Times"/>
        </w:rPr>
        <w:t>T</w:t>
      </w:r>
      <w:r w:rsidR="00A713FF" w:rsidRPr="00CF67D6">
        <w:rPr>
          <w:rFonts w:eastAsia="Times"/>
        </w:rPr>
        <w:t xml:space="preserve">heir article titled </w:t>
      </w:r>
      <w:r w:rsidR="00A713FF" w:rsidRPr="00726720">
        <w:rPr>
          <w:rFonts w:eastAsia="Times"/>
          <w:i/>
        </w:rPr>
        <w:t>Comparative Research Methods further</w:t>
      </w:r>
      <w:r w:rsidR="00A713FF" w:rsidRPr="00CF67D6">
        <w:rPr>
          <w:rFonts w:eastAsia="Times"/>
        </w:rPr>
        <w:t xml:space="preserve"> explain how the practice of comparative communication research is distinguished in five practical steps, each connected to a specific research goal. </w:t>
      </w:r>
      <w:r w:rsidR="00A713FF" w:rsidRPr="00CF67D6">
        <w:rPr>
          <w:rFonts w:eastAsia="Times"/>
          <w:b/>
        </w:rPr>
        <w:t xml:space="preserve">The first stage </w:t>
      </w:r>
      <w:r w:rsidR="00A713FF" w:rsidRPr="00CF67D6">
        <w:rPr>
          <w:rFonts w:eastAsia="Times"/>
        </w:rPr>
        <w:t xml:space="preserve">the most basic is a rounded and detailed contextual description providing knowledge about interesting topics and about factors that might be important to explain similarities and differences. </w:t>
      </w:r>
      <w:r w:rsidR="00A713FF" w:rsidRPr="00CF67D6">
        <w:rPr>
          <w:rFonts w:eastAsia="Times"/>
          <w:b/>
        </w:rPr>
        <w:t>The Second Stage</w:t>
      </w:r>
      <w:r w:rsidR="00A713FF" w:rsidRPr="00CF67D6">
        <w:rPr>
          <w:rFonts w:eastAsia="Times"/>
        </w:rPr>
        <w:t xml:space="preserve"> is comparability. Exemplified here sampling, for example, after taking media samples in country A, what is equivalent in countries B, C, and D? The same applies to certain objects and concepts of analysis. Only objects that fulfill the same function (or role) can be meaningfully compared to each other.</w:t>
      </w:r>
    </w:p>
    <w:p w14:paraId="35AC890E" w14:textId="7B43EA76" w:rsidR="00A713FF" w:rsidRPr="00682D64" w:rsidRDefault="00A713FF" w:rsidP="00870B64">
      <w:pPr>
        <w:ind w:firstLine="567"/>
        <w:jc w:val="both"/>
        <w:rPr>
          <w:rFonts w:eastAsia="Times"/>
        </w:rPr>
      </w:pPr>
      <w:r w:rsidRPr="00CF67D6">
        <w:rPr>
          <w:b/>
          <w:lang w:val="en-US"/>
        </w:rPr>
        <w:t>The third stage</w:t>
      </w:r>
      <w:r w:rsidRPr="00CF67D6">
        <w:rPr>
          <w:lang w:val="en-US"/>
        </w:rPr>
        <w:t xml:space="preserve"> is the determination of classification and typology, classification seeks to reduce the complexity of the world by grouping cases into different categories with characteristics that can be identified and shared. </w:t>
      </w:r>
      <w:r w:rsidRPr="00CF67D6">
        <w:rPr>
          <w:b/>
          <w:lang w:val="en-US"/>
        </w:rPr>
        <w:t>The fourth stage</w:t>
      </w:r>
      <w:r w:rsidRPr="00CF67D6">
        <w:rPr>
          <w:lang w:val="en-US"/>
        </w:rPr>
        <w:t xml:space="preserve"> is an explanation for understanding the relationship between different contextual influences and their respective implications for the object of investigation. And the last stage that is considered the most extreme is the confirmed hypothesis. Because there are opportunities to predict which can be used as a solution to a problem that is prevalent in many countries. But the last stage is not used by the authors in this study because the data used are secondary data from the bank concerned, so the authors consider analyzing this discussion through 4 (four) stages.</w:t>
      </w:r>
      <w:r w:rsidR="00682D64" w:rsidRPr="00682D64">
        <w:rPr>
          <w:rFonts w:eastAsia="Times"/>
        </w:rPr>
        <w:t xml:space="preserve"> The data used in this research is secondary data obtained from books, journals to data from the official website of Bank Mandiri and Bank Rakyat Indonesia</w:t>
      </w:r>
    </w:p>
    <w:p w14:paraId="7D6AAED3" w14:textId="77777777" w:rsidR="008C6615" w:rsidRPr="00CF67D6" w:rsidRDefault="008C6615" w:rsidP="00D76DCD">
      <w:pPr>
        <w:ind w:firstLine="360"/>
        <w:jc w:val="both"/>
        <w:rPr>
          <w:lang w:val="en-US"/>
        </w:rPr>
      </w:pPr>
    </w:p>
    <w:p w14:paraId="78649A0F" w14:textId="5372FB21" w:rsidR="00A713FF" w:rsidRPr="009208F2" w:rsidRDefault="00A713FF" w:rsidP="00A713FF">
      <w:pPr>
        <w:pStyle w:val="ListParagraph"/>
        <w:numPr>
          <w:ilvl w:val="0"/>
          <w:numId w:val="2"/>
        </w:numPr>
        <w:ind w:left="284" w:hanging="284"/>
        <w:jc w:val="both"/>
        <w:rPr>
          <w:b/>
          <w:sz w:val="24"/>
          <w:szCs w:val="24"/>
          <w:lang w:val="en-US"/>
        </w:rPr>
      </w:pPr>
      <w:r w:rsidRPr="00CF67D6">
        <w:rPr>
          <w:b/>
          <w:sz w:val="24"/>
          <w:szCs w:val="24"/>
          <w:lang w:val="en-US"/>
        </w:rPr>
        <w:t>Results and Discussion</w:t>
      </w:r>
    </w:p>
    <w:p w14:paraId="4BAE6BCF" w14:textId="77777777" w:rsidR="008C6615" w:rsidRDefault="008C6615" w:rsidP="00A713FF">
      <w:pPr>
        <w:ind w:firstLine="284"/>
        <w:jc w:val="both"/>
        <w:rPr>
          <w:rFonts w:eastAsia="Times"/>
        </w:rPr>
      </w:pPr>
    </w:p>
    <w:p w14:paraId="2F4E4243" w14:textId="6850CD9E" w:rsidR="007B15E7" w:rsidRPr="00CF67D6" w:rsidRDefault="00A713FF" w:rsidP="00870B64">
      <w:pPr>
        <w:ind w:firstLine="567"/>
        <w:jc w:val="both"/>
        <w:rPr>
          <w:rFonts w:eastAsia="Times"/>
        </w:rPr>
      </w:pPr>
      <w:r w:rsidRPr="00CF67D6">
        <w:rPr>
          <w:rFonts w:eastAsia="Times"/>
        </w:rPr>
        <w:t>Based on the Comparative Research Methods initiated by Esser and Vliegenhart which has been discussed in the method section, the authors try to adapt the stages of the comparative method. In the first stage the writer has described contextually rounded and detailed about the CSR of the two Banks. Next is the second stage (comparability). The author's comparative discussion is carried out by comparing the CSR program between the two banks as the table below:</w:t>
      </w:r>
    </w:p>
    <w:p w14:paraId="73C8F845" w14:textId="77777777" w:rsidR="00870B64" w:rsidRDefault="00870B64" w:rsidP="006745BE">
      <w:pPr>
        <w:ind w:firstLine="567"/>
        <w:jc w:val="center"/>
        <w:rPr>
          <w:rFonts w:eastAsia="Times"/>
          <w:b/>
        </w:rPr>
      </w:pPr>
    </w:p>
    <w:p w14:paraId="7FE95D0F" w14:textId="77777777" w:rsidR="00870B64" w:rsidRDefault="00870B64" w:rsidP="006745BE">
      <w:pPr>
        <w:ind w:firstLine="567"/>
        <w:jc w:val="center"/>
        <w:rPr>
          <w:rFonts w:eastAsia="Times"/>
          <w:b/>
        </w:rPr>
      </w:pPr>
    </w:p>
    <w:p w14:paraId="029EDDFF" w14:textId="31EB64CC" w:rsidR="006745BE" w:rsidRPr="00CF67D6" w:rsidRDefault="00612040" w:rsidP="006745BE">
      <w:pPr>
        <w:ind w:firstLine="567"/>
        <w:jc w:val="center"/>
        <w:rPr>
          <w:rFonts w:eastAsia="Times"/>
          <w:b/>
        </w:rPr>
      </w:pPr>
      <w:r>
        <w:rPr>
          <w:rFonts w:eastAsia="Times"/>
          <w:b/>
        </w:rPr>
        <w:lastRenderedPageBreak/>
        <w:t>Tab</w:t>
      </w:r>
      <w:r w:rsidR="00A713FF" w:rsidRPr="00CF67D6">
        <w:rPr>
          <w:rFonts w:eastAsia="Times"/>
          <w:b/>
        </w:rPr>
        <w:t>l</w:t>
      </w:r>
      <w:r>
        <w:rPr>
          <w:rFonts w:eastAsia="Times"/>
          <w:b/>
        </w:rPr>
        <w:t>e</w:t>
      </w:r>
      <w:r w:rsidR="006745BE" w:rsidRPr="00CF67D6">
        <w:rPr>
          <w:rFonts w:eastAsia="Times"/>
          <w:b/>
        </w:rPr>
        <w:t xml:space="preserve"> 1. CSR </w:t>
      </w:r>
      <w:r w:rsidR="00A713FF" w:rsidRPr="00CF67D6">
        <w:rPr>
          <w:rFonts w:eastAsia="Times"/>
          <w:b/>
        </w:rPr>
        <w:t>Program of Bank Mandiri and</w:t>
      </w:r>
      <w:r w:rsidR="006745BE" w:rsidRPr="00CF67D6">
        <w:rPr>
          <w:rFonts w:eastAsia="Times"/>
          <w:b/>
        </w:rPr>
        <w:t xml:space="preserve"> Bank Rakyat Indonesia</w:t>
      </w:r>
      <w:r w:rsidR="00A713FF" w:rsidRPr="00CF67D6">
        <w:rPr>
          <w:rFonts w:eastAsia="Times"/>
          <w:b/>
        </w:rPr>
        <w:t xml:space="preserve"> </w:t>
      </w:r>
      <w:r w:rsidR="00F73E82" w:rsidRPr="00CF67D6">
        <w:rPr>
          <w:rFonts w:eastAsia="Times"/>
          <w:b/>
        </w:rPr>
        <w:t>2017-2019</w:t>
      </w:r>
    </w:p>
    <w:p w14:paraId="7854DA78" w14:textId="77777777" w:rsidR="00E57DC9" w:rsidRPr="00CF67D6" w:rsidRDefault="00E57DC9" w:rsidP="006745BE">
      <w:pPr>
        <w:ind w:firstLine="567"/>
        <w:jc w:val="center"/>
        <w:rPr>
          <w:rFonts w:eastAsia="Times"/>
        </w:rPr>
      </w:pPr>
    </w:p>
    <w:tbl>
      <w:tblPr>
        <w:tblW w:w="82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3544"/>
        <w:gridCol w:w="3567"/>
      </w:tblGrid>
      <w:tr w:rsidR="006745BE" w:rsidRPr="00CF67D6" w14:paraId="3EA6AF96" w14:textId="77777777" w:rsidTr="00342DF6">
        <w:trPr>
          <w:trHeight w:val="608"/>
        </w:trPr>
        <w:tc>
          <w:tcPr>
            <w:tcW w:w="1134" w:type="dxa"/>
            <w:shd w:val="clear" w:color="auto" w:fill="8EAADB" w:themeFill="accent1" w:themeFillTint="99"/>
          </w:tcPr>
          <w:p w14:paraId="682C7A94" w14:textId="679E4B18" w:rsidR="006745BE" w:rsidRPr="00CF67D6" w:rsidRDefault="00A713FF" w:rsidP="00A86099">
            <w:pPr>
              <w:pStyle w:val="TableParagraph"/>
              <w:spacing w:before="1"/>
              <w:ind w:right="433"/>
              <w:jc w:val="center"/>
              <w:rPr>
                <w:b/>
                <w:sz w:val="20"/>
                <w:szCs w:val="20"/>
              </w:rPr>
            </w:pPr>
            <w:r w:rsidRPr="00CF67D6">
              <w:rPr>
                <w:b/>
                <w:sz w:val="20"/>
                <w:szCs w:val="20"/>
              </w:rPr>
              <w:t>Name of</w:t>
            </w:r>
            <w:r w:rsidR="006745BE" w:rsidRPr="00CF67D6">
              <w:rPr>
                <w:b/>
                <w:sz w:val="20"/>
                <w:szCs w:val="20"/>
              </w:rPr>
              <w:t xml:space="preserve"> Bank</w:t>
            </w:r>
          </w:p>
        </w:tc>
        <w:tc>
          <w:tcPr>
            <w:tcW w:w="3544" w:type="dxa"/>
            <w:shd w:val="clear" w:color="auto" w:fill="8EAADB" w:themeFill="accent1" w:themeFillTint="99"/>
          </w:tcPr>
          <w:p w14:paraId="3927E984" w14:textId="77777777" w:rsidR="00F73E82" w:rsidRPr="00CF67D6" w:rsidRDefault="00F73E82" w:rsidP="00F73E82">
            <w:pPr>
              <w:pStyle w:val="TableParagraph"/>
              <w:spacing w:before="1"/>
              <w:ind w:right="1605"/>
              <w:jc w:val="center"/>
              <w:rPr>
                <w:b/>
                <w:sz w:val="20"/>
                <w:szCs w:val="20"/>
              </w:rPr>
            </w:pPr>
          </w:p>
          <w:p w14:paraId="538602B8" w14:textId="044FC645" w:rsidR="006745BE" w:rsidRPr="00CF67D6" w:rsidRDefault="00A86099" w:rsidP="00A86099">
            <w:pPr>
              <w:pStyle w:val="TableParagraph"/>
              <w:spacing w:before="1"/>
              <w:ind w:right="1605"/>
              <w:jc w:val="right"/>
              <w:rPr>
                <w:b/>
                <w:sz w:val="20"/>
                <w:szCs w:val="20"/>
              </w:rPr>
            </w:pPr>
            <w:r w:rsidRPr="00CF67D6">
              <w:rPr>
                <w:b/>
                <w:sz w:val="20"/>
                <w:szCs w:val="20"/>
              </w:rPr>
              <w:t xml:space="preserve">Bank </w:t>
            </w:r>
            <w:proofErr w:type="spellStart"/>
            <w:r w:rsidR="006745BE" w:rsidRPr="00CF67D6">
              <w:rPr>
                <w:b/>
                <w:sz w:val="20"/>
                <w:szCs w:val="20"/>
              </w:rPr>
              <w:t>Mandiri</w:t>
            </w:r>
            <w:proofErr w:type="spellEnd"/>
          </w:p>
        </w:tc>
        <w:tc>
          <w:tcPr>
            <w:tcW w:w="3567" w:type="dxa"/>
            <w:shd w:val="clear" w:color="auto" w:fill="8EAADB" w:themeFill="accent1" w:themeFillTint="99"/>
          </w:tcPr>
          <w:p w14:paraId="572320FD" w14:textId="77777777" w:rsidR="006745BE" w:rsidRPr="00CF67D6" w:rsidRDefault="006745BE" w:rsidP="00CE3058">
            <w:pPr>
              <w:pStyle w:val="TableParagraph"/>
              <w:spacing w:before="8"/>
              <w:rPr>
                <w:b/>
                <w:sz w:val="20"/>
                <w:szCs w:val="20"/>
              </w:rPr>
            </w:pPr>
          </w:p>
          <w:p w14:paraId="79B56312" w14:textId="77777777" w:rsidR="006745BE" w:rsidRPr="00CF67D6" w:rsidRDefault="006745BE" w:rsidP="00CE3058">
            <w:pPr>
              <w:pStyle w:val="TableParagraph"/>
              <w:spacing w:before="1"/>
              <w:ind w:left="450"/>
              <w:rPr>
                <w:b/>
                <w:sz w:val="20"/>
                <w:szCs w:val="20"/>
              </w:rPr>
            </w:pPr>
            <w:r w:rsidRPr="00CF67D6">
              <w:rPr>
                <w:b/>
                <w:sz w:val="20"/>
                <w:szCs w:val="20"/>
              </w:rPr>
              <w:t>Bank Rakyat Indonesia</w:t>
            </w:r>
          </w:p>
        </w:tc>
      </w:tr>
      <w:tr w:rsidR="006745BE" w:rsidRPr="00CF67D6" w14:paraId="6EF3625F" w14:textId="77777777" w:rsidTr="00342DF6">
        <w:trPr>
          <w:trHeight w:val="2402"/>
        </w:trPr>
        <w:tc>
          <w:tcPr>
            <w:tcW w:w="1134" w:type="dxa"/>
          </w:tcPr>
          <w:p w14:paraId="72111CC0" w14:textId="77777777" w:rsidR="00E97A73" w:rsidRDefault="00E97A73" w:rsidP="00CE3058">
            <w:pPr>
              <w:pStyle w:val="TableParagraph"/>
              <w:ind w:left="107" w:right="79"/>
              <w:rPr>
                <w:b/>
                <w:sz w:val="20"/>
                <w:szCs w:val="20"/>
              </w:rPr>
            </w:pPr>
          </w:p>
          <w:p w14:paraId="1588EEA9" w14:textId="77777777" w:rsidR="00E97A73" w:rsidRDefault="00E97A73" w:rsidP="00CE3058">
            <w:pPr>
              <w:pStyle w:val="TableParagraph"/>
              <w:ind w:left="107" w:right="79"/>
              <w:rPr>
                <w:b/>
                <w:sz w:val="20"/>
                <w:szCs w:val="20"/>
              </w:rPr>
            </w:pPr>
          </w:p>
          <w:p w14:paraId="41387514" w14:textId="77777777" w:rsidR="00E97A73" w:rsidRDefault="00E97A73" w:rsidP="00CE3058">
            <w:pPr>
              <w:pStyle w:val="TableParagraph"/>
              <w:ind w:left="107" w:right="79"/>
              <w:rPr>
                <w:b/>
                <w:sz w:val="20"/>
                <w:szCs w:val="20"/>
              </w:rPr>
            </w:pPr>
          </w:p>
          <w:p w14:paraId="1BAAE5AF" w14:textId="2074D072" w:rsidR="006745BE" w:rsidRPr="00CF67D6" w:rsidRDefault="00F36594" w:rsidP="00E97A73">
            <w:pPr>
              <w:pStyle w:val="TableParagraph"/>
              <w:ind w:left="107" w:right="79"/>
              <w:jc w:val="center"/>
              <w:rPr>
                <w:b/>
                <w:sz w:val="20"/>
                <w:szCs w:val="20"/>
              </w:rPr>
            </w:pPr>
            <w:r w:rsidRPr="00CF67D6">
              <w:rPr>
                <w:b/>
                <w:sz w:val="20"/>
                <w:szCs w:val="20"/>
              </w:rPr>
              <w:t>Foc</w:t>
            </w:r>
            <w:r w:rsidR="006745BE" w:rsidRPr="00CF67D6">
              <w:rPr>
                <w:b/>
                <w:sz w:val="20"/>
                <w:szCs w:val="20"/>
              </w:rPr>
              <w:t>us Program</w:t>
            </w:r>
            <w:r w:rsidR="00612040">
              <w:rPr>
                <w:b/>
                <w:sz w:val="20"/>
                <w:szCs w:val="20"/>
              </w:rPr>
              <w:t>s</w:t>
            </w:r>
            <w:r w:rsidR="006745BE" w:rsidRPr="00CF67D6">
              <w:rPr>
                <w:b/>
                <w:sz w:val="20"/>
                <w:szCs w:val="20"/>
              </w:rPr>
              <w:t>:</w:t>
            </w:r>
          </w:p>
        </w:tc>
        <w:tc>
          <w:tcPr>
            <w:tcW w:w="3544" w:type="dxa"/>
          </w:tcPr>
          <w:p w14:paraId="7BFE30D1" w14:textId="77777777" w:rsidR="00BB51D1" w:rsidRDefault="00F36594" w:rsidP="00FA5567">
            <w:pPr>
              <w:pStyle w:val="TableParagraph"/>
              <w:numPr>
                <w:ilvl w:val="0"/>
                <w:numId w:val="4"/>
              </w:numPr>
              <w:tabs>
                <w:tab w:val="left" w:pos="432"/>
              </w:tabs>
              <w:ind w:right="210"/>
              <w:jc w:val="both"/>
              <w:rPr>
                <w:sz w:val="20"/>
                <w:szCs w:val="20"/>
              </w:rPr>
            </w:pPr>
            <w:r w:rsidRPr="00CF67D6">
              <w:rPr>
                <w:sz w:val="20"/>
                <w:szCs w:val="20"/>
              </w:rPr>
              <w:t xml:space="preserve">The main focus of the Bank </w:t>
            </w:r>
            <w:proofErr w:type="spellStart"/>
            <w:r w:rsidRPr="00CF67D6">
              <w:rPr>
                <w:sz w:val="20"/>
                <w:szCs w:val="20"/>
              </w:rPr>
              <w:t>Mandiri</w:t>
            </w:r>
            <w:proofErr w:type="spellEnd"/>
            <w:r w:rsidRPr="00CF67D6">
              <w:rPr>
                <w:sz w:val="20"/>
                <w:szCs w:val="20"/>
              </w:rPr>
              <w:t xml:space="preserve"> CSR program is to encourage growth in the level of community welfare. Through the implementation of a sustainable CSR program, </w:t>
            </w:r>
          </w:p>
          <w:p w14:paraId="032BD606" w14:textId="6E405F8C" w:rsidR="006745BE" w:rsidRPr="00BB51D1" w:rsidRDefault="00F36594" w:rsidP="00FA5567">
            <w:pPr>
              <w:pStyle w:val="TableParagraph"/>
              <w:numPr>
                <w:ilvl w:val="0"/>
                <w:numId w:val="4"/>
              </w:numPr>
              <w:tabs>
                <w:tab w:val="left" w:pos="432"/>
              </w:tabs>
              <w:ind w:right="210"/>
              <w:jc w:val="both"/>
              <w:rPr>
                <w:sz w:val="20"/>
                <w:szCs w:val="20"/>
              </w:rPr>
            </w:pPr>
            <w:r w:rsidRPr="00CF67D6">
              <w:rPr>
                <w:sz w:val="20"/>
                <w:szCs w:val="20"/>
              </w:rPr>
              <w:t xml:space="preserve">Bank </w:t>
            </w:r>
            <w:proofErr w:type="spellStart"/>
            <w:r w:rsidRPr="00CF67D6">
              <w:rPr>
                <w:sz w:val="20"/>
                <w:szCs w:val="20"/>
              </w:rPr>
              <w:t>Mandiri</w:t>
            </w:r>
            <w:proofErr w:type="spellEnd"/>
            <w:r w:rsidRPr="00CF67D6">
              <w:rPr>
                <w:sz w:val="20"/>
                <w:szCs w:val="20"/>
              </w:rPr>
              <w:t xml:space="preserve"> wants to achieve business success together with improvement</w:t>
            </w:r>
            <w:r w:rsidR="00BB51D1">
              <w:rPr>
                <w:sz w:val="20"/>
                <w:szCs w:val="20"/>
              </w:rPr>
              <w:t xml:space="preserve"> </w:t>
            </w:r>
            <w:r w:rsidRPr="00BB51D1">
              <w:rPr>
                <w:sz w:val="20"/>
                <w:szCs w:val="20"/>
              </w:rPr>
              <w:t>we</w:t>
            </w:r>
            <w:r w:rsidR="00BB51D1" w:rsidRPr="00BB51D1">
              <w:rPr>
                <w:sz w:val="20"/>
                <w:szCs w:val="20"/>
              </w:rPr>
              <w:t>lfare of the Indonesian people.</w:t>
            </w:r>
          </w:p>
        </w:tc>
        <w:tc>
          <w:tcPr>
            <w:tcW w:w="3567" w:type="dxa"/>
          </w:tcPr>
          <w:p w14:paraId="204D2F8F" w14:textId="77777777" w:rsidR="00BB51D1" w:rsidRDefault="00F36594" w:rsidP="00FA5567">
            <w:pPr>
              <w:pStyle w:val="TableParagraph"/>
              <w:numPr>
                <w:ilvl w:val="0"/>
                <w:numId w:val="3"/>
              </w:numPr>
              <w:tabs>
                <w:tab w:val="left" w:pos="503"/>
                <w:tab w:val="left" w:pos="504"/>
              </w:tabs>
              <w:ind w:right="243"/>
              <w:jc w:val="both"/>
              <w:rPr>
                <w:sz w:val="20"/>
                <w:szCs w:val="20"/>
              </w:rPr>
            </w:pPr>
            <w:r w:rsidRPr="00CF67D6">
              <w:rPr>
                <w:sz w:val="20"/>
                <w:szCs w:val="20"/>
              </w:rPr>
              <w:t>The main focus of Corporate Social Responsibility (CSR), especially through the implementati</w:t>
            </w:r>
            <w:r w:rsidR="00BB51D1">
              <w:rPr>
                <w:sz w:val="20"/>
                <w:szCs w:val="20"/>
              </w:rPr>
              <w:t>on of the Community Development</w:t>
            </w:r>
          </w:p>
          <w:p w14:paraId="164BA486" w14:textId="4C264DC0" w:rsidR="006745BE" w:rsidRPr="00CF67D6" w:rsidRDefault="00F36594" w:rsidP="00FA5567">
            <w:pPr>
              <w:pStyle w:val="TableParagraph"/>
              <w:numPr>
                <w:ilvl w:val="0"/>
                <w:numId w:val="3"/>
              </w:numPr>
              <w:tabs>
                <w:tab w:val="left" w:pos="503"/>
                <w:tab w:val="left" w:pos="504"/>
              </w:tabs>
              <w:ind w:right="243"/>
              <w:jc w:val="both"/>
              <w:rPr>
                <w:sz w:val="20"/>
                <w:szCs w:val="20"/>
              </w:rPr>
            </w:pPr>
            <w:r w:rsidRPr="00CF67D6">
              <w:rPr>
                <w:sz w:val="20"/>
                <w:szCs w:val="20"/>
              </w:rPr>
              <w:t>Bank BRI is committed to making BRI Cares an activity that has a positive impact on society</w:t>
            </w:r>
          </w:p>
        </w:tc>
      </w:tr>
      <w:tr w:rsidR="006745BE" w:rsidRPr="00CF67D6" w14:paraId="324ECC2C" w14:textId="77777777" w:rsidTr="00342DF6">
        <w:trPr>
          <w:trHeight w:val="1126"/>
        </w:trPr>
        <w:tc>
          <w:tcPr>
            <w:tcW w:w="1134" w:type="dxa"/>
          </w:tcPr>
          <w:p w14:paraId="2DF05623" w14:textId="77777777" w:rsidR="00E97A73" w:rsidRDefault="00E97A73" w:rsidP="00CE3058">
            <w:pPr>
              <w:pStyle w:val="TableParagraph"/>
              <w:ind w:left="107" w:right="79"/>
              <w:rPr>
                <w:b/>
                <w:sz w:val="20"/>
                <w:szCs w:val="20"/>
              </w:rPr>
            </w:pPr>
          </w:p>
          <w:p w14:paraId="78253655" w14:textId="77777777" w:rsidR="00E97A73" w:rsidRDefault="00E97A73" w:rsidP="00CE3058">
            <w:pPr>
              <w:pStyle w:val="TableParagraph"/>
              <w:ind w:left="107" w:right="79"/>
              <w:rPr>
                <w:b/>
                <w:sz w:val="20"/>
                <w:szCs w:val="20"/>
              </w:rPr>
            </w:pPr>
          </w:p>
          <w:p w14:paraId="5BB87B61" w14:textId="77777777" w:rsidR="00E97A73" w:rsidRDefault="00E97A73" w:rsidP="00E97A73">
            <w:pPr>
              <w:pStyle w:val="TableParagraph"/>
              <w:ind w:right="79"/>
              <w:rPr>
                <w:b/>
                <w:sz w:val="20"/>
                <w:szCs w:val="20"/>
              </w:rPr>
            </w:pPr>
          </w:p>
          <w:p w14:paraId="79792999" w14:textId="11118262" w:rsidR="006745BE" w:rsidRPr="00CF67D6" w:rsidRDefault="006745BE" w:rsidP="00E97A73">
            <w:pPr>
              <w:pStyle w:val="TableParagraph"/>
              <w:ind w:right="79"/>
              <w:jc w:val="center"/>
              <w:rPr>
                <w:b/>
                <w:sz w:val="20"/>
                <w:szCs w:val="20"/>
              </w:rPr>
            </w:pPr>
            <w:r w:rsidRPr="00CF67D6">
              <w:rPr>
                <w:b/>
                <w:sz w:val="20"/>
                <w:szCs w:val="20"/>
              </w:rPr>
              <w:t>Visi</w:t>
            </w:r>
            <w:r w:rsidR="00612040">
              <w:rPr>
                <w:b/>
                <w:sz w:val="20"/>
                <w:szCs w:val="20"/>
              </w:rPr>
              <w:t>on</w:t>
            </w:r>
          </w:p>
        </w:tc>
        <w:tc>
          <w:tcPr>
            <w:tcW w:w="3544" w:type="dxa"/>
            <w:shd w:val="clear" w:color="auto" w:fill="auto"/>
          </w:tcPr>
          <w:p w14:paraId="383DDA81" w14:textId="677AB253" w:rsidR="006745BE" w:rsidRPr="00870B64" w:rsidRDefault="00FA5567" w:rsidP="00FA5567">
            <w:pPr>
              <w:pStyle w:val="TableParagraph"/>
              <w:numPr>
                <w:ilvl w:val="0"/>
                <w:numId w:val="27"/>
              </w:numPr>
              <w:tabs>
                <w:tab w:val="left" w:pos="284"/>
              </w:tabs>
              <w:ind w:left="426" w:right="210" w:hanging="284"/>
              <w:jc w:val="both"/>
              <w:rPr>
                <w:sz w:val="20"/>
                <w:szCs w:val="20"/>
              </w:rPr>
            </w:pPr>
            <w:r>
              <w:rPr>
                <w:sz w:val="20"/>
                <w:szCs w:val="20"/>
              </w:rPr>
              <w:t xml:space="preserve">Developing an independent </w:t>
            </w:r>
            <w:r w:rsidR="00BB51D1">
              <w:rPr>
                <w:sz w:val="20"/>
                <w:szCs w:val="20"/>
              </w:rPr>
              <w:t xml:space="preserve">Indonesian community through CSR Programs as inspiration to become </w:t>
            </w:r>
            <w:r w:rsidR="00870B64">
              <w:rPr>
                <w:sz w:val="20"/>
                <w:szCs w:val="20"/>
              </w:rPr>
              <w:t>a progressive financial institution that grows with Indonesia</w:t>
            </w:r>
          </w:p>
        </w:tc>
        <w:tc>
          <w:tcPr>
            <w:tcW w:w="3567" w:type="dxa"/>
            <w:shd w:val="clear" w:color="auto" w:fill="auto"/>
          </w:tcPr>
          <w:p w14:paraId="2E97D672" w14:textId="120A93B5" w:rsidR="00870B64" w:rsidRPr="00870B64" w:rsidRDefault="00870B64" w:rsidP="00FA5567">
            <w:pPr>
              <w:pStyle w:val="TableParagraph"/>
              <w:numPr>
                <w:ilvl w:val="0"/>
                <w:numId w:val="6"/>
              </w:numPr>
              <w:tabs>
                <w:tab w:val="left" w:pos="827"/>
              </w:tabs>
              <w:ind w:right="305"/>
              <w:jc w:val="both"/>
              <w:rPr>
                <w:sz w:val="20"/>
                <w:szCs w:val="20"/>
              </w:rPr>
            </w:pPr>
            <w:r>
              <w:rPr>
                <w:sz w:val="20"/>
                <w:szCs w:val="20"/>
              </w:rPr>
              <w:t>To be a pioneer in corporate social responsibility in empowering the economy of the community of Indonesia.</w:t>
            </w:r>
          </w:p>
          <w:p w14:paraId="37F44D85" w14:textId="3AD13463" w:rsidR="006745BE" w:rsidRPr="00CF67D6" w:rsidRDefault="006745BE" w:rsidP="00870B64">
            <w:pPr>
              <w:pStyle w:val="TableParagraph"/>
              <w:tabs>
                <w:tab w:val="left" w:pos="827"/>
              </w:tabs>
              <w:ind w:right="305"/>
              <w:rPr>
                <w:sz w:val="20"/>
                <w:szCs w:val="20"/>
              </w:rPr>
            </w:pPr>
          </w:p>
        </w:tc>
      </w:tr>
      <w:tr w:rsidR="006745BE" w:rsidRPr="00CF67D6" w14:paraId="02353619" w14:textId="77777777" w:rsidTr="00342DF6">
        <w:trPr>
          <w:trHeight w:val="2230"/>
        </w:trPr>
        <w:tc>
          <w:tcPr>
            <w:tcW w:w="1134" w:type="dxa"/>
          </w:tcPr>
          <w:p w14:paraId="4F62252F" w14:textId="77777777" w:rsidR="00E97A73" w:rsidRDefault="00E97A73" w:rsidP="00E97A73">
            <w:pPr>
              <w:pStyle w:val="TableParagraph"/>
              <w:ind w:left="107" w:right="79"/>
              <w:jc w:val="center"/>
              <w:rPr>
                <w:b/>
                <w:sz w:val="20"/>
                <w:szCs w:val="20"/>
              </w:rPr>
            </w:pPr>
          </w:p>
          <w:p w14:paraId="033959F7" w14:textId="77777777" w:rsidR="00E97A73" w:rsidRDefault="00E97A73" w:rsidP="00E97A73">
            <w:pPr>
              <w:pStyle w:val="TableParagraph"/>
              <w:ind w:left="107" w:right="79"/>
              <w:jc w:val="center"/>
              <w:rPr>
                <w:b/>
                <w:sz w:val="20"/>
                <w:szCs w:val="20"/>
              </w:rPr>
            </w:pPr>
          </w:p>
          <w:p w14:paraId="4A3CFCB2" w14:textId="77777777" w:rsidR="00E97A73" w:rsidRDefault="00E97A73" w:rsidP="00E97A73">
            <w:pPr>
              <w:pStyle w:val="TableParagraph"/>
              <w:ind w:left="107" w:right="79"/>
              <w:jc w:val="center"/>
              <w:rPr>
                <w:b/>
                <w:sz w:val="20"/>
                <w:szCs w:val="20"/>
              </w:rPr>
            </w:pPr>
          </w:p>
          <w:p w14:paraId="20B719B3" w14:textId="77777777" w:rsidR="00E97A73" w:rsidRDefault="00E97A73" w:rsidP="00E97A73">
            <w:pPr>
              <w:pStyle w:val="TableParagraph"/>
              <w:ind w:left="107" w:right="79"/>
              <w:jc w:val="center"/>
              <w:rPr>
                <w:b/>
                <w:sz w:val="20"/>
                <w:szCs w:val="20"/>
              </w:rPr>
            </w:pPr>
          </w:p>
          <w:p w14:paraId="2B61BB20" w14:textId="77777777" w:rsidR="00E97A73" w:rsidRDefault="00E97A73" w:rsidP="00E97A73">
            <w:pPr>
              <w:pStyle w:val="TableParagraph"/>
              <w:ind w:left="107" w:right="79"/>
              <w:jc w:val="center"/>
              <w:rPr>
                <w:b/>
                <w:sz w:val="20"/>
                <w:szCs w:val="20"/>
              </w:rPr>
            </w:pPr>
          </w:p>
          <w:p w14:paraId="6F22E840" w14:textId="3D271C48" w:rsidR="006745BE" w:rsidRPr="00CF67D6" w:rsidRDefault="00612040" w:rsidP="00E97A73">
            <w:pPr>
              <w:pStyle w:val="TableParagraph"/>
              <w:ind w:left="107" w:right="79"/>
              <w:jc w:val="center"/>
              <w:rPr>
                <w:b/>
                <w:sz w:val="20"/>
                <w:szCs w:val="20"/>
              </w:rPr>
            </w:pPr>
            <w:r>
              <w:rPr>
                <w:b/>
                <w:sz w:val="20"/>
                <w:szCs w:val="20"/>
              </w:rPr>
              <w:t>Mission</w:t>
            </w:r>
          </w:p>
        </w:tc>
        <w:tc>
          <w:tcPr>
            <w:tcW w:w="3544" w:type="dxa"/>
          </w:tcPr>
          <w:p w14:paraId="5BBEAD78" w14:textId="77777777" w:rsidR="00F36594" w:rsidRPr="00CF67D6" w:rsidRDefault="00F36594" w:rsidP="00FA5567">
            <w:pPr>
              <w:pStyle w:val="TableParagraph"/>
              <w:numPr>
                <w:ilvl w:val="0"/>
                <w:numId w:val="8"/>
              </w:numPr>
              <w:tabs>
                <w:tab w:val="left" w:pos="407"/>
                <w:tab w:val="left" w:pos="408"/>
              </w:tabs>
              <w:ind w:right="128"/>
              <w:jc w:val="both"/>
              <w:rPr>
                <w:sz w:val="20"/>
                <w:szCs w:val="20"/>
              </w:rPr>
            </w:pPr>
            <w:r w:rsidRPr="00CF67D6">
              <w:rPr>
                <w:sz w:val="20"/>
                <w:szCs w:val="20"/>
              </w:rPr>
              <w:t>Become a trusted primary partner for the development of an independent and prosperous society</w:t>
            </w:r>
          </w:p>
          <w:p w14:paraId="2934CA06" w14:textId="0BDB8F00" w:rsidR="00E57DC9" w:rsidRPr="00CF67D6" w:rsidRDefault="00F36594" w:rsidP="00FA5567">
            <w:pPr>
              <w:pStyle w:val="TableParagraph"/>
              <w:numPr>
                <w:ilvl w:val="0"/>
                <w:numId w:val="8"/>
              </w:numPr>
              <w:tabs>
                <w:tab w:val="left" w:pos="432"/>
              </w:tabs>
              <w:ind w:right="210"/>
              <w:jc w:val="both"/>
              <w:rPr>
                <w:sz w:val="20"/>
                <w:szCs w:val="20"/>
              </w:rPr>
            </w:pPr>
            <w:r w:rsidRPr="00CF67D6">
              <w:rPr>
                <w:sz w:val="20"/>
                <w:szCs w:val="20"/>
              </w:rPr>
              <w:t xml:space="preserve">Running CSR programs that strengthen Bank </w:t>
            </w:r>
            <w:proofErr w:type="spellStart"/>
            <w:r w:rsidRPr="00CF67D6">
              <w:rPr>
                <w:sz w:val="20"/>
                <w:szCs w:val="20"/>
              </w:rPr>
              <w:t>Mandiri's</w:t>
            </w:r>
            <w:proofErr w:type="spellEnd"/>
            <w:r w:rsidRPr="00CF67D6">
              <w:rPr>
                <w:sz w:val="20"/>
                <w:szCs w:val="20"/>
              </w:rPr>
              <w:t xml:space="preserve"> strategy with the best governance and become part of Bank </w:t>
            </w:r>
            <w:proofErr w:type="spellStart"/>
            <w:r w:rsidRPr="00CF67D6">
              <w:rPr>
                <w:sz w:val="20"/>
                <w:szCs w:val="20"/>
              </w:rPr>
              <w:t>Mandiri's</w:t>
            </w:r>
            <w:proofErr w:type="spellEnd"/>
            <w:r w:rsidRPr="00CF67D6">
              <w:rPr>
                <w:sz w:val="20"/>
                <w:szCs w:val="20"/>
              </w:rPr>
              <w:t xml:space="preserve"> comprehensive branding strategy as a financial institution for all stakeholders</w:t>
            </w:r>
          </w:p>
        </w:tc>
        <w:tc>
          <w:tcPr>
            <w:tcW w:w="3567" w:type="dxa"/>
          </w:tcPr>
          <w:p w14:paraId="658EC614" w14:textId="75FFF789" w:rsidR="00F36594" w:rsidRPr="00CF67D6" w:rsidRDefault="00F36594" w:rsidP="00FA5567">
            <w:pPr>
              <w:pStyle w:val="TableParagraph"/>
              <w:numPr>
                <w:ilvl w:val="0"/>
                <w:numId w:val="4"/>
              </w:numPr>
              <w:tabs>
                <w:tab w:val="left" w:pos="421"/>
                <w:tab w:val="left" w:pos="422"/>
              </w:tabs>
              <w:ind w:right="133"/>
              <w:jc w:val="both"/>
              <w:rPr>
                <w:sz w:val="20"/>
                <w:szCs w:val="20"/>
              </w:rPr>
            </w:pPr>
            <w:r w:rsidRPr="00CF67D6">
              <w:rPr>
                <w:sz w:val="20"/>
                <w:szCs w:val="20"/>
              </w:rPr>
              <w:t>Contribute to improving the community's economy</w:t>
            </w:r>
          </w:p>
          <w:p w14:paraId="3151EA66" w14:textId="1C70DE5A" w:rsidR="00F36594" w:rsidRPr="00CF67D6" w:rsidRDefault="00F36594" w:rsidP="00FA5567">
            <w:pPr>
              <w:pStyle w:val="TableParagraph"/>
              <w:numPr>
                <w:ilvl w:val="0"/>
                <w:numId w:val="4"/>
              </w:numPr>
              <w:tabs>
                <w:tab w:val="left" w:pos="421"/>
                <w:tab w:val="left" w:pos="422"/>
              </w:tabs>
              <w:ind w:right="133"/>
              <w:jc w:val="both"/>
              <w:rPr>
                <w:sz w:val="20"/>
                <w:szCs w:val="20"/>
              </w:rPr>
            </w:pPr>
            <w:r w:rsidRPr="00CF67D6">
              <w:rPr>
                <w:sz w:val="20"/>
                <w:szCs w:val="20"/>
              </w:rPr>
              <w:t>Growing new entrepreneurs in the form of group building and business clusters</w:t>
            </w:r>
          </w:p>
          <w:p w14:paraId="69371BDF" w14:textId="659A7F60" w:rsidR="006745BE" w:rsidRPr="00CF67D6" w:rsidRDefault="00F36594" w:rsidP="00FA5567">
            <w:pPr>
              <w:pStyle w:val="TableParagraph"/>
              <w:numPr>
                <w:ilvl w:val="0"/>
                <w:numId w:val="4"/>
              </w:numPr>
              <w:tabs>
                <w:tab w:val="left" w:pos="421"/>
                <w:tab w:val="left" w:pos="422"/>
              </w:tabs>
              <w:ind w:right="219"/>
              <w:jc w:val="both"/>
              <w:rPr>
                <w:sz w:val="20"/>
                <w:szCs w:val="20"/>
              </w:rPr>
            </w:pPr>
            <w:r w:rsidRPr="00CF67D6">
              <w:rPr>
                <w:sz w:val="20"/>
                <w:szCs w:val="20"/>
              </w:rPr>
              <w:t>Active role in improving the quality of the environment and society</w:t>
            </w:r>
          </w:p>
        </w:tc>
      </w:tr>
      <w:tr w:rsidR="000D009A" w:rsidRPr="00CF67D6" w14:paraId="6965A8BC" w14:textId="77777777" w:rsidTr="00B40760">
        <w:trPr>
          <w:trHeight w:val="559"/>
        </w:trPr>
        <w:tc>
          <w:tcPr>
            <w:tcW w:w="1134" w:type="dxa"/>
          </w:tcPr>
          <w:p w14:paraId="5F547EF5" w14:textId="77777777" w:rsidR="00E97A73" w:rsidRDefault="00E97A73" w:rsidP="00CE3058">
            <w:pPr>
              <w:pStyle w:val="TableParagraph"/>
              <w:ind w:left="107" w:right="79"/>
              <w:rPr>
                <w:b/>
                <w:sz w:val="20"/>
                <w:szCs w:val="20"/>
              </w:rPr>
            </w:pPr>
          </w:p>
          <w:p w14:paraId="47977005" w14:textId="77777777" w:rsidR="00E97A73" w:rsidRDefault="00E97A73" w:rsidP="00CE3058">
            <w:pPr>
              <w:pStyle w:val="TableParagraph"/>
              <w:ind w:left="107" w:right="79"/>
              <w:rPr>
                <w:b/>
                <w:sz w:val="20"/>
                <w:szCs w:val="20"/>
              </w:rPr>
            </w:pPr>
          </w:p>
          <w:p w14:paraId="17B142B1" w14:textId="77777777" w:rsidR="00E97A73" w:rsidRDefault="00E97A73" w:rsidP="00CE3058">
            <w:pPr>
              <w:pStyle w:val="TableParagraph"/>
              <w:ind w:left="107" w:right="79"/>
              <w:rPr>
                <w:b/>
                <w:sz w:val="20"/>
                <w:szCs w:val="20"/>
              </w:rPr>
            </w:pPr>
          </w:p>
          <w:p w14:paraId="06582FBC" w14:textId="77777777" w:rsidR="00E97A73" w:rsidRDefault="00E97A73" w:rsidP="00CE3058">
            <w:pPr>
              <w:pStyle w:val="TableParagraph"/>
              <w:ind w:left="107" w:right="79"/>
              <w:rPr>
                <w:b/>
                <w:sz w:val="20"/>
                <w:szCs w:val="20"/>
              </w:rPr>
            </w:pPr>
          </w:p>
          <w:p w14:paraId="002BF1F4" w14:textId="77777777" w:rsidR="00E97A73" w:rsidRDefault="00E97A73" w:rsidP="00CE3058">
            <w:pPr>
              <w:pStyle w:val="TableParagraph"/>
              <w:ind w:left="107" w:right="79"/>
              <w:rPr>
                <w:b/>
                <w:sz w:val="20"/>
                <w:szCs w:val="20"/>
              </w:rPr>
            </w:pPr>
          </w:p>
          <w:p w14:paraId="30EDC906" w14:textId="77777777" w:rsidR="00E97A73" w:rsidRDefault="00E97A73" w:rsidP="00CE3058">
            <w:pPr>
              <w:pStyle w:val="TableParagraph"/>
              <w:ind w:left="107" w:right="79"/>
              <w:rPr>
                <w:b/>
                <w:sz w:val="20"/>
                <w:szCs w:val="20"/>
              </w:rPr>
            </w:pPr>
          </w:p>
          <w:p w14:paraId="29169692" w14:textId="445F7FE4" w:rsidR="000D009A" w:rsidRPr="00CF67D6" w:rsidRDefault="00870B64" w:rsidP="00CE3058">
            <w:pPr>
              <w:pStyle w:val="TableParagraph"/>
              <w:ind w:left="107" w:right="79"/>
              <w:rPr>
                <w:b/>
                <w:sz w:val="20"/>
                <w:szCs w:val="20"/>
              </w:rPr>
            </w:pPr>
            <w:r>
              <w:rPr>
                <w:b/>
                <w:sz w:val="20"/>
                <w:szCs w:val="20"/>
              </w:rPr>
              <w:t xml:space="preserve">CSR </w:t>
            </w:r>
            <w:r w:rsidR="000D009A" w:rsidRPr="00CF67D6">
              <w:rPr>
                <w:b/>
                <w:sz w:val="20"/>
                <w:szCs w:val="20"/>
              </w:rPr>
              <w:t>Program</w:t>
            </w:r>
            <w:r>
              <w:rPr>
                <w:b/>
                <w:sz w:val="20"/>
                <w:szCs w:val="20"/>
              </w:rPr>
              <w:t>s</w:t>
            </w:r>
          </w:p>
        </w:tc>
        <w:tc>
          <w:tcPr>
            <w:tcW w:w="3544" w:type="dxa"/>
          </w:tcPr>
          <w:p w14:paraId="5D219C22" w14:textId="0415B3B9" w:rsidR="007950B9" w:rsidRPr="007950B9" w:rsidRDefault="007950B9" w:rsidP="007950B9">
            <w:pPr>
              <w:pStyle w:val="TableParagraph"/>
              <w:numPr>
                <w:ilvl w:val="0"/>
                <w:numId w:val="18"/>
              </w:numPr>
              <w:tabs>
                <w:tab w:val="left" w:pos="384"/>
                <w:tab w:val="left" w:pos="4526"/>
              </w:tabs>
              <w:spacing w:before="1"/>
              <w:ind w:right="69"/>
              <w:rPr>
                <w:b/>
                <w:sz w:val="20"/>
                <w:szCs w:val="20"/>
              </w:rPr>
            </w:pPr>
            <w:proofErr w:type="spellStart"/>
            <w:r>
              <w:rPr>
                <w:b/>
                <w:sz w:val="20"/>
                <w:szCs w:val="20"/>
              </w:rPr>
              <w:t>Wirausaha</w:t>
            </w:r>
            <w:proofErr w:type="spellEnd"/>
            <w:r>
              <w:rPr>
                <w:b/>
                <w:sz w:val="20"/>
                <w:szCs w:val="20"/>
              </w:rPr>
              <w:t xml:space="preserve"> </w:t>
            </w:r>
            <w:proofErr w:type="spellStart"/>
            <w:r w:rsidR="008D30F0" w:rsidRPr="008D30F0">
              <w:rPr>
                <w:b/>
                <w:sz w:val="20"/>
                <w:szCs w:val="20"/>
              </w:rPr>
              <w:t>Muda</w:t>
            </w:r>
            <w:proofErr w:type="spellEnd"/>
            <w:r w:rsidR="008D30F0" w:rsidRPr="008D30F0">
              <w:rPr>
                <w:b/>
                <w:sz w:val="20"/>
                <w:szCs w:val="20"/>
              </w:rPr>
              <w:t xml:space="preserve"> </w:t>
            </w:r>
            <w:proofErr w:type="spellStart"/>
            <w:r w:rsidR="008D30F0" w:rsidRPr="008D30F0">
              <w:rPr>
                <w:b/>
                <w:sz w:val="20"/>
                <w:szCs w:val="20"/>
              </w:rPr>
              <w:t>Mandiri</w:t>
            </w:r>
            <w:proofErr w:type="spellEnd"/>
            <w:r w:rsidR="00342DF6">
              <w:rPr>
                <w:b/>
                <w:sz w:val="20"/>
                <w:szCs w:val="20"/>
              </w:rPr>
              <w:t xml:space="preserve"> (WMM)</w:t>
            </w:r>
          </w:p>
          <w:p w14:paraId="0CAB6438" w14:textId="468E5361" w:rsidR="00B40760" w:rsidRDefault="00342DF6" w:rsidP="00B40760">
            <w:pPr>
              <w:pStyle w:val="TableParagraph"/>
              <w:tabs>
                <w:tab w:val="left" w:pos="384"/>
                <w:tab w:val="left" w:pos="4526"/>
              </w:tabs>
              <w:spacing w:before="1"/>
              <w:ind w:left="360" w:right="69"/>
              <w:jc w:val="both"/>
              <w:rPr>
                <w:sz w:val="20"/>
                <w:szCs w:val="20"/>
              </w:rPr>
            </w:pPr>
            <w:r w:rsidRPr="00342DF6">
              <w:rPr>
                <w:sz w:val="20"/>
                <w:szCs w:val="20"/>
              </w:rPr>
              <w:t xml:space="preserve">CSR program of Bank </w:t>
            </w:r>
            <w:proofErr w:type="spellStart"/>
            <w:r w:rsidRPr="00342DF6">
              <w:rPr>
                <w:sz w:val="20"/>
                <w:szCs w:val="20"/>
              </w:rPr>
              <w:t>Mandiri</w:t>
            </w:r>
            <w:proofErr w:type="spellEnd"/>
            <w:r w:rsidRPr="00342DF6">
              <w:rPr>
                <w:sz w:val="20"/>
                <w:szCs w:val="20"/>
              </w:rPr>
              <w:t xml:space="preserve"> that has been implemented since 2007 and aims to assist the government in developing entrepreneurship in Indonesia, especially among the younger generation.</w:t>
            </w:r>
            <w:r w:rsidR="00B40760">
              <w:rPr>
                <w:b/>
                <w:sz w:val="20"/>
                <w:szCs w:val="20"/>
              </w:rPr>
              <w:t xml:space="preserve"> </w:t>
            </w:r>
            <w:proofErr w:type="spellStart"/>
            <w:r w:rsidR="000D009A" w:rsidRPr="00FA5567">
              <w:rPr>
                <w:sz w:val="20"/>
                <w:szCs w:val="20"/>
              </w:rPr>
              <w:t>Mandiri</w:t>
            </w:r>
            <w:proofErr w:type="spellEnd"/>
            <w:r w:rsidR="000D009A" w:rsidRPr="00FA5567">
              <w:rPr>
                <w:sz w:val="20"/>
                <w:szCs w:val="20"/>
              </w:rPr>
              <w:t xml:space="preserve"> </w:t>
            </w:r>
            <w:r w:rsidR="00DE4293" w:rsidRPr="00FA5567">
              <w:rPr>
                <w:sz w:val="20"/>
                <w:szCs w:val="20"/>
              </w:rPr>
              <w:t>support for government programs to improve the welfare of the Indonesian people and form an independent Indonesian community including BUMN Creative Homes. Vill</w:t>
            </w:r>
            <w:r w:rsidR="00B40760">
              <w:rPr>
                <w:sz w:val="20"/>
                <w:szCs w:val="20"/>
              </w:rPr>
              <w:t>age Economic Center, Coding Mum and others related program.</w:t>
            </w:r>
          </w:p>
          <w:p w14:paraId="629B1BF4" w14:textId="6269B757" w:rsidR="00B40760" w:rsidRPr="00B40760" w:rsidRDefault="00B40760" w:rsidP="00B40760">
            <w:pPr>
              <w:pStyle w:val="TableParagraph"/>
              <w:tabs>
                <w:tab w:val="left" w:pos="384"/>
                <w:tab w:val="left" w:pos="4526"/>
              </w:tabs>
              <w:spacing w:before="1"/>
              <w:ind w:left="360" w:right="69"/>
              <w:jc w:val="both"/>
              <w:rPr>
                <w:sz w:val="20"/>
                <w:szCs w:val="20"/>
              </w:rPr>
            </w:pPr>
          </w:p>
        </w:tc>
        <w:tc>
          <w:tcPr>
            <w:tcW w:w="3567" w:type="dxa"/>
          </w:tcPr>
          <w:p w14:paraId="06B687F8" w14:textId="77777777" w:rsidR="00FA5567" w:rsidRDefault="000D009A" w:rsidP="003333FB">
            <w:pPr>
              <w:pStyle w:val="TableParagraph"/>
              <w:numPr>
                <w:ilvl w:val="0"/>
                <w:numId w:val="3"/>
              </w:numPr>
              <w:tabs>
                <w:tab w:val="left" w:pos="503"/>
                <w:tab w:val="left" w:pos="504"/>
              </w:tabs>
              <w:ind w:right="243"/>
              <w:rPr>
                <w:sz w:val="20"/>
                <w:szCs w:val="20"/>
              </w:rPr>
            </w:pPr>
            <w:r w:rsidRPr="00CF67D6">
              <w:rPr>
                <w:b/>
                <w:sz w:val="20"/>
                <w:szCs w:val="20"/>
              </w:rPr>
              <w:t>Indonesia Sejahtera</w:t>
            </w:r>
            <w:r w:rsidRPr="00CF67D6">
              <w:rPr>
                <w:sz w:val="20"/>
                <w:szCs w:val="20"/>
              </w:rPr>
              <w:t xml:space="preserve"> </w:t>
            </w:r>
            <w:r w:rsidR="00F36594" w:rsidRPr="00CF67D6">
              <w:rPr>
                <w:b/>
                <w:sz w:val="20"/>
                <w:szCs w:val="20"/>
              </w:rPr>
              <w:t>Program</w:t>
            </w:r>
            <w:r w:rsidR="00F36594" w:rsidRPr="00CF67D6">
              <w:rPr>
                <w:sz w:val="20"/>
                <w:szCs w:val="20"/>
              </w:rPr>
              <w:t xml:space="preserve"> </w:t>
            </w:r>
          </w:p>
          <w:p w14:paraId="4F9C7674" w14:textId="77777777" w:rsidR="000D009A" w:rsidRDefault="00DE4293" w:rsidP="00FA5567">
            <w:pPr>
              <w:pStyle w:val="TableParagraph"/>
              <w:tabs>
                <w:tab w:val="left" w:pos="503"/>
                <w:tab w:val="left" w:pos="504"/>
              </w:tabs>
              <w:ind w:left="503" w:right="243"/>
              <w:jc w:val="both"/>
              <w:rPr>
                <w:sz w:val="20"/>
                <w:szCs w:val="20"/>
              </w:rPr>
            </w:pPr>
            <w:r w:rsidRPr="00CF67D6">
              <w:rPr>
                <w:sz w:val="20"/>
                <w:szCs w:val="20"/>
              </w:rPr>
              <w:t xml:space="preserve">It is a branding of the implementation of BRI's social responsibility activities in the social sector in the context of poverty alleviation reaching </w:t>
            </w:r>
            <w:proofErr w:type="spellStart"/>
            <w:r w:rsidRPr="00CF67D6">
              <w:rPr>
                <w:sz w:val="20"/>
                <w:szCs w:val="20"/>
              </w:rPr>
              <w:t>Rp</w:t>
            </w:r>
            <w:proofErr w:type="spellEnd"/>
            <w:r w:rsidRPr="00CF67D6">
              <w:rPr>
                <w:sz w:val="20"/>
                <w:szCs w:val="20"/>
              </w:rPr>
              <w:t xml:space="preserve"> 40 billion until the third quarter of 2018. Some of the activities are </w:t>
            </w:r>
            <w:proofErr w:type="spellStart"/>
            <w:r w:rsidRPr="00CF67D6">
              <w:rPr>
                <w:sz w:val="20"/>
                <w:szCs w:val="20"/>
              </w:rPr>
              <w:t>Teras</w:t>
            </w:r>
            <w:proofErr w:type="spellEnd"/>
            <w:r w:rsidRPr="00CF67D6">
              <w:rPr>
                <w:sz w:val="20"/>
                <w:szCs w:val="20"/>
              </w:rPr>
              <w:t xml:space="preserve"> BRI Nusantara Program; Education and training within the framework of the BUMN Creative Home program, the appreciation of the work disabled and the Community Devel</w:t>
            </w:r>
            <w:r w:rsidR="003333FB">
              <w:rPr>
                <w:sz w:val="20"/>
                <w:szCs w:val="20"/>
              </w:rPr>
              <w:t>o</w:t>
            </w:r>
            <w:r w:rsidRPr="00CF67D6">
              <w:rPr>
                <w:sz w:val="20"/>
                <w:szCs w:val="20"/>
              </w:rPr>
              <w:t>pment Fund of 6 billion</w:t>
            </w:r>
          </w:p>
          <w:p w14:paraId="738C5354" w14:textId="238AF263" w:rsidR="007950B9" w:rsidRPr="00CF67D6" w:rsidRDefault="007950B9" w:rsidP="00FA5567">
            <w:pPr>
              <w:pStyle w:val="TableParagraph"/>
              <w:tabs>
                <w:tab w:val="left" w:pos="503"/>
                <w:tab w:val="left" w:pos="504"/>
              </w:tabs>
              <w:ind w:left="503" w:right="243"/>
              <w:jc w:val="both"/>
              <w:rPr>
                <w:sz w:val="20"/>
                <w:szCs w:val="20"/>
              </w:rPr>
            </w:pPr>
          </w:p>
        </w:tc>
      </w:tr>
      <w:tr w:rsidR="003333FB" w:rsidRPr="00CF67D6" w14:paraId="006F640D" w14:textId="77777777" w:rsidTr="00342DF6">
        <w:trPr>
          <w:trHeight w:val="276"/>
        </w:trPr>
        <w:tc>
          <w:tcPr>
            <w:tcW w:w="1134" w:type="dxa"/>
            <w:shd w:val="clear" w:color="auto" w:fill="4472C4" w:themeFill="accent1"/>
          </w:tcPr>
          <w:p w14:paraId="2588E1CC" w14:textId="26306321" w:rsidR="003333FB" w:rsidRDefault="003333FB" w:rsidP="00CE3058">
            <w:pPr>
              <w:pStyle w:val="TableParagraph"/>
              <w:ind w:left="107" w:right="79"/>
              <w:rPr>
                <w:b/>
                <w:sz w:val="20"/>
                <w:szCs w:val="20"/>
              </w:rPr>
            </w:pPr>
            <w:r w:rsidRPr="00CF67D6">
              <w:rPr>
                <w:b/>
                <w:sz w:val="20"/>
                <w:szCs w:val="20"/>
              </w:rPr>
              <w:lastRenderedPageBreak/>
              <w:t>Name of Bank</w:t>
            </w:r>
          </w:p>
        </w:tc>
        <w:tc>
          <w:tcPr>
            <w:tcW w:w="3544" w:type="dxa"/>
            <w:shd w:val="clear" w:color="auto" w:fill="4472C4" w:themeFill="accent1"/>
          </w:tcPr>
          <w:p w14:paraId="0F4B1373" w14:textId="7A309E04" w:rsidR="003333FB" w:rsidRPr="00CF67D6" w:rsidRDefault="003333FB" w:rsidP="00870B64">
            <w:pPr>
              <w:pStyle w:val="TableParagraph"/>
              <w:tabs>
                <w:tab w:val="left" w:pos="384"/>
                <w:tab w:val="left" w:pos="4526"/>
              </w:tabs>
              <w:spacing w:before="1"/>
              <w:ind w:right="69"/>
              <w:rPr>
                <w:b/>
                <w:sz w:val="20"/>
                <w:szCs w:val="20"/>
                <w:shd w:val="clear" w:color="auto" w:fill="F8F8F8"/>
              </w:rPr>
            </w:pPr>
            <w:r>
              <w:rPr>
                <w:b/>
                <w:sz w:val="20"/>
                <w:szCs w:val="20"/>
              </w:rPr>
              <w:t xml:space="preserve">                 </w:t>
            </w:r>
            <w:r w:rsidRPr="00CF67D6">
              <w:rPr>
                <w:b/>
                <w:sz w:val="20"/>
                <w:szCs w:val="20"/>
              </w:rPr>
              <w:t xml:space="preserve">Bank </w:t>
            </w:r>
            <w:proofErr w:type="spellStart"/>
            <w:r w:rsidRPr="00CF67D6">
              <w:rPr>
                <w:b/>
                <w:sz w:val="20"/>
                <w:szCs w:val="20"/>
              </w:rPr>
              <w:t>Mandiri</w:t>
            </w:r>
            <w:proofErr w:type="spellEnd"/>
          </w:p>
        </w:tc>
        <w:tc>
          <w:tcPr>
            <w:tcW w:w="3567" w:type="dxa"/>
            <w:shd w:val="clear" w:color="auto" w:fill="4472C4" w:themeFill="accent1"/>
          </w:tcPr>
          <w:p w14:paraId="4E35C911" w14:textId="362AEDE6" w:rsidR="003333FB" w:rsidRPr="00CF67D6" w:rsidRDefault="003333FB" w:rsidP="003333FB">
            <w:pPr>
              <w:pStyle w:val="TableParagraph"/>
              <w:tabs>
                <w:tab w:val="left" w:pos="503"/>
                <w:tab w:val="left" w:pos="504"/>
              </w:tabs>
              <w:ind w:right="243"/>
              <w:rPr>
                <w:b/>
                <w:sz w:val="20"/>
                <w:szCs w:val="20"/>
              </w:rPr>
            </w:pPr>
            <w:r>
              <w:rPr>
                <w:b/>
                <w:sz w:val="20"/>
                <w:szCs w:val="20"/>
              </w:rPr>
              <w:t xml:space="preserve">            </w:t>
            </w:r>
            <w:r w:rsidRPr="00CF67D6">
              <w:rPr>
                <w:b/>
                <w:sz w:val="20"/>
                <w:szCs w:val="20"/>
              </w:rPr>
              <w:t>Bank Rakyat Indonesia</w:t>
            </w:r>
          </w:p>
        </w:tc>
      </w:tr>
      <w:tr w:rsidR="003333FB" w:rsidRPr="00CF67D6" w14:paraId="6367F5E0" w14:textId="77777777" w:rsidTr="00342DF6">
        <w:trPr>
          <w:trHeight w:val="1785"/>
        </w:trPr>
        <w:tc>
          <w:tcPr>
            <w:tcW w:w="1134" w:type="dxa"/>
            <w:vMerge w:val="restart"/>
          </w:tcPr>
          <w:p w14:paraId="495E68A1" w14:textId="77777777" w:rsidR="003333FB" w:rsidRDefault="003333FB" w:rsidP="00CE3058">
            <w:pPr>
              <w:pStyle w:val="TableParagraph"/>
              <w:ind w:left="107" w:right="79"/>
              <w:rPr>
                <w:b/>
                <w:sz w:val="20"/>
                <w:szCs w:val="20"/>
              </w:rPr>
            </w:pPr>
          </w:p>
          <w:p w14:paraId="45E0D13D" w14:textId="77777777" w:rsidR="003333FB" w:rsidRDefault="003333FB" w:rsidP="00CE3058">
            <w:pPr>
              <w:pStyle w:val="TableParagraph"/>
              <w:ind w:left="107" w:right="79"/>
              <w:rPr>
                <w:b/>
                <w:sz w:val="20"/>
                <w:szCs w:val="20"/>
              </w:rPr>
            </w:pPr>
          </w:p>
          <w:p w14:paraId="5CC7E873" w14:textId="77777777" w:rsidR="003333FB" w:rsidRDefault="003333FB" w:rsidP="00CE3058">
            <w:pPr>
              <w:pStyle w:val="TableParagraph"/>
              <w:ind w:left="107" w:right="79"/>
              <w:rPr>
                <w:b/>
                <w:sz w:val="20"/>
                <w:szCs w:val="20"/>
              </w:rPr>
            </w:pPr>
          </w:p>
          <w:p w14:paraId="7C2D7511" w14:textId="77777777" w:rsidR="003333FB" w:rsidRDefault="003333FB" w:rsidP="00CE3058">
            <w:pPr>
              <w:pStyle w:val="TableParagraph"/>
              <w:ind w:left="107" w:right="79"/>
              <w:rPr>
                <w:b/>
                <w:sz w:val="20"/>
                <w:szCs w:val="20"/>
              </w:rPr>
            </w:pPr>
          </w:p>
          <w:p w14:paraId="76F0FF97" w14:textId="77777777" w:rsidR="003333FB" w:rsidRDefault="003333FB" w:rsidP="00CE3058">
            <w:pPr>
              <w:pStyle w:val="TableParagraph"/>
              <w:ind w:left="107" w:right="79"/>
              <w:rPr>
                <w:b/>
                <w:sz w:val="20"/>
                <w:szCs w:val="20"/>
              </w:rPr>
            </w:pPr>
          </w:p>
          <w:p w14:paraId="168A2BC9" w14:textId="77777777" w:rsidR="003333FB" w:rsidRDefault="003333FB" w:rsidP="00CE3058">
            <w:pPr>
              <w:pStyle w:val="TableParagraph"/>
              <w:ind w:left="107" w:right="79"/>
              <w:rPr>
                <w:b/>
                <w:sz w:val="20"/>
                <w:szCs w:val="20"/>
              </w:rPr>
            </w:pPr>
          </w:p>
          <w:p w14:paraId="4DBE6F19" w14:textId="77777777" w:rsidR="003333FB" w:rsidRDefault="003333FB" w:rsidP="00CE3058">
            <w:pPr>
              <w:pStyle w:val="TableParagraph"/>
              <w:ind w:left="107" w:right="79"/>
              <w:rPr>
                <w:b/>
                <w:sz w:val="20"/>
                <w:szCs w:val="20"/>
              </w:rPr>
            </w:pPr>
          </w:p>
          <w:p w14:paraId="1DB8EAF3" w14:textId="77777777" w:rsidR="003333FB" w:rsidRDefault="003333FB" w:rsidP="00CE3058">
            <w:pPr>
              <w:pStyle w:val="TableParagraph"/>
              <w:ind w:left="107" w:right="79"/>
              <w:rPr>
                <w:b/>
                <w:sz w:val="20"/>
                <w:szCs w:val="20"/>
              </w:rPr>
            </w:pPr>
          </w:p>
          <w:p w14:paraId="5A1A3016" w14:textId="77777777" w:rsidR="003333FB" w:rsidRDefault="003333FB" w:rsidP="00CE3058">
            <w:pPr>
              <w:pStyle w:val="TableParagraph"/>
              <w:ind w:left="107" w:right="79"/>
              <w:rPr>
                <w:b/>
                <w:sz w:val="20"/>
                <w:szCs w:val="20"/>
              </w:rPr>
            </w:pPr>
          </w:p>
          <w:p w14:paraId="39B3A498" w14:textId="77777777" w:rsidR="003333FB" w:rsidRDefault="003333FB" w:rsidP="00CE3058">
            <w:pPr>
              <w:pStyle w:val="TableParagraph"/>
              <w:ind w:left="107" w:right="79"/>
              <w:rPr>
                <w:b/>
                <w:sz w:val="20"/>
                <w:szCs w:val="20"/>
              </w:rPr>
            </w:pPr>
          </w:p>
          <w:p w14:paraId="2D45CB8A" w14:textId="77777777" w:rsidR="00E97A73" w:rsidRDefault="00E97A73" w:rsidP="00CE3058">
            <w:pPr>
              <w:pStyle w:val="TableParagraph"/>
              <w:ind w:left="107" w:right="79"/>
              <w:rPr>
                <w:b/>
                <w:sz w:val="20"/>
                <w:szCs w:val="20"/>
              </w:rPr>
            </w:pPr>
          </w:p>
          <w:p w14:paraId="699E459F" w14:textId="77777777" w:rsidR="00E97A73" w:rsidRDefault="00E97A73" w:rsidP="00CE3058">
            <w:pPr>
              <w:pStyle w:val="TableParagraph"/>
              <w:ind w:left="107" w:right="79"/>
              <w:rPr>
                <w:b/>
                <w:sz w:val="20"/>
                <w:szCs w:val="20"/>
              </w:rPr>
            </w:pPr>
          </w:p>
          <w:p w14:paraId="77E1D274" w14:textId="77777777" w:rsidR="00E97A73" w:rsidRDefault="00E97A73" w:rsidP="00CE3058">
            <w:pPr>
              <w:pStyle w:val="TableParagraph"/>
              <w:ind w:left="107" w:right="79"/>
              <w:rPr>
                <w:b/>
                <w:sz w:val="20"/>
                <w:szCs w:val="20"/>
              </w:rPr>
            </w:pPr>
          </w:p>
          <w:p w14:paraId="2D53A959" w14:textId="77777777" w:rsidR="00E97A73" w:rsidRDefault="00E97A73" w:rsidP="00CE3058">
            <w:pPr>
              <w:pStyle w:val="TableParagraph"/>
              <w:ind w:left="107" w:right="79"/>
              <w:rPr>
                <w:b/>
                <w:sz w:val="20"/>
                <w:szCs w:val="20"/>
              </w:rPr>
            </w:pPr>
          </w:p>
          <w:p w14:paraId="3BBE2493" w14:textId="77777777" w:rsidR="003333FB" w:rsidRDefault="003333FB" w:rsidP="00CE3058">
            <w:pPr>
              <w:pStyle w:val="TableParagraph"/>
              <w:ind w:left="107" w:right="79"/>
              <w:rPr>
                <w:b/>
                <w:sz w:val="20"/>
                <w:szCs w:val="20"/>
              </w:rPr>
            </w:pPr>
          </w:p>
          <w:p w14:paraId="088DEE94" w14:textId="77777777" w:rsidR="003333FB" w:rsidRDefault="003333FB" w:rsidP="00CE3058">
            <w:pPr>
              <w:pStyle w:val="TableParagraph"/>
              <w:ind w:left="107" w:right="79"/>
              <w:rPr>
                <w:b/>
                <w:sz w:val="20"/>
                <w:szCs w:val="20"/>
              </w:rPr>
            </w:pPr>
          </w:p>
          <w:p w14:paraId="480648B5" w14:textId="77777777" w:rsidR="003333FB" w:rsidRDefault="003333FB" w:rsidP="00CE3058">
            <w:pPr>
              <w:pStyle w:val="TableParagraph"/>
              <w:ind w:left="107" w:right="79"/>
              <w:rPr>
                <w:b/>
                <w:sz w:val="20"/>
                <w:szCs w:val="20"/>
              </w:rPr>
            </w:pPr>
          </w:p>
          <w:p w14:paraId="1592F379" w14:textId="34201049" w:rsidR="003333FB" w:rsidRDefault="003333FB" w:rsidP="00CE3058">
            <w:pPr>
              <w:pStyle w:val="TableParagraph"/>
              <w:ind w:left="107" w:right="79"/>
              <w:rPr>
                <w:b/>
                <w:sz w:val="20"/>
                <w:szCs w:val="20"/>
              </w:rPr>
            </w:pPr>
            <w:r>
              <w:rPr>
                <w:b/>
                <w:sz w:val="20"/>
                <w:szCs w:val="20"/>
              </w:rPr>
              <w:t>CSR Programs</w:t>
            </w:r>
          </w:p>
        </w:tc>
        <w:tc>
          <w:tcPr>
            <w:tcW w:w="3544" w:type="dxa"/>
          </w:tcPr>
          <w:p w14:paraId="4EA99463" w14:textId="77777777" w:rsidR="00FA5567" w:rsidRDefault="00FA5567" w:rsidP="00FA5567">
            <w:pPr>
              <w:pStyle w:val="TableParagraph"/>
              <w:numPr>
                <w:ilvl w:val="0"/>
                <w:numId w:val="29"/>
              </w:numPr>
              <w:tabs>
                <w:tab w:val="left" w:pos="384"/>
                <w:tab w:val="left" w:pos="4526"/>
              </w:tabs>
              <w:spacing w:before="1"/>
              <w:ind w:right="69"/>
              <w:jc w:val="both"/>
              <w:rPr>
                <w:sz w:val="20"/>
                <w:szCs w:val="20"/>
              </w:rPr>
            </w:pPr>
            <w:proofErr w:type="spellStart"/>
            <w:r w:rsidRPr="003333FB">
              <w:rPr>
                <w:b/>
                <w:sz w:val="20"/>
                <w:szCs w:val="20"/>
              </w:rPr>
              <w:t>Peduli</w:t>
            </w:r>
            <w:proofErr w:type="spellEnd"/>
            <w:r w:rsidRPr="003333FB">
              <w:rPr>
                <w:b/>
                <w:sz w:val="20"/>
                <w:szCs w:val="20"/>
              </w:rPr>
              <w:t xml:space="preserve"> </w:t>
            </w:r>
            <w:proofErr w:type="spellStart"/>
            <w:r w:rsidRPr="003333FB">
              <w:rPr>
                <w:b/>
                <w:sz w:val="20"/>
                <w:szCs w:val="20"/>
              </w:rPr>
              <w:t>Bencana</w:t>
            </w:r>
            <w:proofErr w:type="spellEnd"/>
          </w:p>
          <w:p w14:paraId="41932DAB" w14:textId="3000CF45" w:rsidR="003333FB" w:rsidRPr="00FA5567" w:rsidRDefault="00FA5567" w:rsidP="00FA5567">
            <w:pPr>
              <w:pStyle w:val="TableParagraph"/>
              <w:tabs>
                <w:tab w:val="left" w:pos="384"/>
                <w:tab w:val="left" w:pos="4526"/>
              </w:tabs>
              <w:spacing w:before="1"/>
              <w:ind w:left="360" w:right="69"/>
              <w:jc w:val="both"/>
              <w:rPr>
                <w:sz w:val="20"/>
                <w:szCs w:val="20"/>
              </w:rPr>
            </w:pPr>
            <w:r>
              <w:rPr>
                <w:sz w:val="20"/>
                <w:szCs w:val="20"/>
              </w:rPr>
              <w:t xml:space="preserve">Bank </w:t>
            </w:r>
            <w:proofErr w:type="spellStart"/>
            <w:r>
              <w:rPr>
                <w:sz w:val="20"/>
                <w:szCs w:val="20"/>
              </w:rPr>
              <w:t>Mandiri’s</w:t>
            </w:r>
            <w:proofErr w:type="spellEnd"/>
            <w:r>
              <w:rPr>
                <w:sz w:val="20"/>
                <w:szCs w:val="20"/>
              </w:rPr>
              <w:t xml:space="preserve"> Program related to response Disaster. Including Tsunami Aceh, Earthquake in </w:t>
            </w:r>
            <w:proofErr w:type="spellStart"/>
            <w:r>
              <w:rPr>
                <w:sz w:val="20"/>
                <w:szCs w:val="20"/>
              </w:rPr>
              <w:t>Banjarnegara</w:t>
            </w:r>
            <w:proofErr w:type="spellEnd"/>
            <w:r>
              <w:rPr>
                <w:sz w:val="20"/>
                <w:szCs w:val="20"/>
              </w:rPr>
              <w:t xml:space="preserve">, </w:t>
            </w:r>
            <w:proofErr w:type="spellStart"/>
            <w:r>
              <w:rPr>
                <w:sz w:val="20"/>
                <w:szCs w:val="20"/>
              </w:rPr>
              <w:t>Merapi</w:t>
            </w:r>
            <w:proofErr w:type="spellEnd"/>
            <w:r>
              <w:rPr>
                <w:sz w:val="20"/>
                <w:szCs w:val="20"/>
              </w:rPr>
              <w:t xml:space="preserve"> Volcano Eruption and Others disaster in Indonesia</w:t>
            </w:r>
          </w:p>
        </w:tc>
        <w:tc>
          <w:tcPr>
            <w:tcW w:w="3567" w:type="dxa"/>
          </w:tcPr>
          <w:p w14:paraId="7639310A" w14:textId="77777777" w:rsidR="00FA5567" w:rsidRDefault="00FA5567" w:rsidP="00FA5567">
            <w:pPr>
              <w:pStyle w:val="TableParagraph"/>
              <w:numPr>
                <w:ilvl w:val="0"/>
                <w:numId w:val="18"/>
              </w:numPr>
              <w:tabs>
                <w:tab w:val="left" w:pos="307"/>
              </w:tabs>
              <w:spacing w:line="237" w:lineRule="auto"/>
              <w:ind w:right="440"/>
              <w:rPr>
                <w:b/>
                <w:sz w:val="20"/>
                <w:szCs w:val="20"/>
              </w:rPr>
            </w:pPr>
            <w:r w:rsidRPr="00CF67D6">
              <w:rPr>
                <w:b/>
                <w:sz w:val="20"/>
                <w:szCs w:val="20"/>
              </w:rPr>
              <w:t xml:space="preserve">Indonesia </w:t>
            </w:r>
            <w:proofErr w:type="spellStart"/>
            <w:r w:rsidRPr="00CF67D6">
              <w:rPr>
                <w:b/>
                <w:sz w:val="20"/>
                <w:szCs w:val="20"/>
              </w:rPr>
              <w:t>peduli</w:t>
            </w:r>
            <w:proofErr w:type="spellEnd"/>
          </w:p>
          <w:p w14:paraId="464BC240" w14:textId="2A1C481C" w:rsidR="003333FB" w:rsidRPr="00FA5567" w:rsidRDefault="00FA5567" w:rsidP="00FA5567">
            <w:pPr>
              <w:pStyle w:val="TableParagraph"/>
              <w:tabs>
                <w:tab w:val="left" w:pos="307"/>
              </w:tabs>
              <w:spacing w:line="237" w:lineRule="auto"/>
              <w:ind w:left="307" w:right="142"/>
              <w:jc w:val="both"/>
              <w:rPr>
                <w:sz w:val="20"/>
                <w:szCs w:val="20"/>
              </w:rPr>
            </w:pPr>
            <w:r w:rsidRPr="003333FB">
              <w:rPr>
                <w:sz w:val="20"/>
                <w:szCs w:val="20"/>
              </w:rPr>
              <w:t>BRI programs that are responsiv</w:t>
            </w:r>
            <w:r>
              <w:rPr>
                <w:sz w:val="20"/>
                <w:szCs w:val="20"/>
              </w:rPr>
              <w:t xml:space="preserve">e in order to help disasters in </w:t>
            </w:r>
            <w:r w:rsidRPr="003333FB">
              <w:rPr>
                <w:sz w:val="20"/>
                <w:szCs w:val="20"/>
              </w:rPr>
              <w:t>Indonesia include: Disaster Response Post, Provision of Logistics for Lombok earthquake victims, Humanitarian A</w:t>
            </w:r>
            <w:r>
              <w:rPr>
                <w:sz w:val="20"/>
                <w:szCs w:val="20"/>
              </w:rPr>
              <w:t xml:space="preserve">id for </w:t>
            </w:r>
            <w:proofErr w:type="spellStart"/>
            <w:r>
              <w:rPr>
                <w:sz w:val="20"/>
                <w:szCs w:val="20"/>
              </w:rPr>
              <w:t>Palu</w:t>
            </w:r>
            <w:proofErr w:type="spellEnd"/>
            <w:r>
              <w:rPr>
                <w:sz w:val="20"/>
                <w:szCs w:val="20"/>
              </w:rPr>
              <w:t xml:space="preserve"> Earthquake Victims and others disasters in Indonesia</w:t>
            </w:r>
          </w:p>
        </w:tc>
      </w:tr>
      <w:tr w:rsidR="00FA5567" w:rsidRPr="00CF67D6" w14:paraId="65615CF7" w14:textId="77777777" w:rsidTr="00342DF6">
        <w:trPr>
          <w:trHeight w:val="1785"/>
        </w:trPr>
        <w:tc>
          <w:tcPr>
            <w:tcW w:w="1134" w:type="dxa"/>
            <w:vMerge/>
          </w:tcPr>
          <w:p w14:paraId="039C1936" w14:textId="77777777" w:rsidR="00FA5567" w:rsidRDefault="00FA5567" w:rsidP="00CE3058">
            <w:pPr>
              <w:pStyle w:val="TableParagraph"/>
              <w:ind w:left="107" w:right="79"/>
              <w:rPr>
                <w:b/>
                <w:sz w:val="20"/>
                <w:szCs w:val="20"/>
              </w:rPr>
            </w:pPr>
          </w:p>
        </w:tc>
        <w:tc>
          <w:tcPr>
            <w:tcW w:w="3544" w:type="dxa"/>
          </w:tcPr>
          <w:p w14:paraId="50A506F9" w14:textId="77777777" w:rsidR="00FA5567" w:rsidRPr="00665A77" w:rsidRDefault="00FA5567" w:rsidP="00FA5567">
            <w:pPr>
              <w:pStyle w:val="TableParagraph"/>
              <w:numPr>
                <w:ilvl w:val="0"/>
                <w:numId w:val="29"/>
              </w:numPr>
              <w:tabs>
                <w:tab w:val="left" w:pos="384"/>
                <w:tab w:val="left" w:pos="4526"/>
              </w:tabs>
              <w:spacing w:before="1"/>
              <w:ind w:right="69"/>
              <w:jc w:val="both"/>
              <w:rPr>
                <w:sz w:val="20"/>
                <w:szCs w:val="20"/>
              </w:rPr>
            </w:pPr>
            <w:proofErr w:type="spellStart"/>
            <w:r>
              <w:rPr>
                <w:b/>
                <w:sz w:val="20"/>
                <w:szCs w:val="20"/>
              </w:rPr>
              <w:t>Peduli</w:t>
            </w:r>
            <w:proofErr w:type="spellEnd"/>
            <w:r>
              <w:rPr>
                <w:b/>
                <w:sz w:val="20"/>
                <w:szCs w:val="20"/>
              </w:rPr>
              <w:t xml:space="preserve"> </w:t>
            </w:r>
            <w:proofErr w:type="spellStart"/>
            <w:r>
              <w:rPr>
                <w:b/>
                <w:sz w:val="20"/>
                <w:szCs w:val="20"/>
              </w:rPr>
              <w:t>Pendidikan</w:t>
            </w:r>
            <w:proofErr w:type="spellEnd"/>
          </w:p>
          <w:p w14:paraId="167FDC80" w14:textId="339A5C4A" w:rsidR="00FA5567" w:rsidRPr="00FA5567" w:rsidRDefault="00FA5567" w:rsidP="00FA5567">
            <w:pPr>
              <w:pStyle w:val="TableParagraph"/>
              <w:tabs>
                <w:tab w:val="left" w:pos="384"/>
                <w:tab w:val="left" w:pos="4526"/>
              </w:tabs>
              <w:spacing w:before="1"/>
              <w:ind w:left="360" w:right="69"/>
              <w:jc w:val="both"/>
              <w:rPr>
                <w:sz w:val="20"/>
                <w:szCs w:val="20"/>
              </w:rPr>
            </w:pPr>
            <w:r w:rsidRPr="00665A77">
              <w:rPr>
                <w:sz w:val="20"/>
                <w:szCs w:val="20"/>
              </w:rPr>
              <w:t xml:space="preserve">Bank </w:t>
            </w:r>
            <w:proofErr w:type="spellStart"/>
            <w:r w:rsidRPr="00665A77">
              <w:rPr>
                <w:sz w:val="20"/>
                <w:szCs w:val="20"/>
              </w:rPr>
              <w:t>Mandiri</w:t>
            </w:r>
            <w:proofErr w:type="spellEnd"/>
            <w:r w:rsidRPr="00665A77">
              <w:rPr>
                <w:sz w:val="20"/>
                <w:szCs w:val="20"/>
              </w:rPr>
              <w:t xml:space="preserve"> CSR activities related to Community Education, including: Nusantara introduction program, Construction of School Reading Gardens in collaboration with PT </w:t>
            </w:r>
            <w:proofErr w:type="spellStart"/>
            <w:r w:rsidRPr="00665A77">
              <w:rPr>
                <w:sz w:val="20"/>
                <w:szCs w:val="20"/>
              </w:rPr>
              <w:t>Balai</w:t>
            </w:r>
            <w:proofErr w:type="spellEnd"/>
            <w:r w:rsidRPr="00665A77">
              <w:rPr>
                <w:sz w:val="20"/>
                <w:szCs w:val="20"/>
              </w:rPr>
              <w:t xml:space="preserve"> </w:t>
            </w:r>
            <w:proofErr w:type="spellStart"/>
            <w:r w:rsidRPr="00665A77">
              <w:rPr>
                <w:sz w:val="20"/>
                <w:szCs w:val="20"/>
              </w:rPr>
              <w:t>Pustaka</w:t>
            </w:r>
            <w:proofErr w:type="spellEnd"/>
            <w:r w:rsidRPr="00665A77">
              <w:rPr>
                <w:sz w:val="20"/>
                <w:szCs w:val="20"/>
              </w:rPr>
              <w:t>, Educational scholarship assistance, Improvement of schoo</w:t>
            </w:r>
            <w:r>
              <w:rPr>
                <w:sz w:val="20"/>
                <w:szCs w:val="20"/>
              </w:rPr>
              <w:t>l facilities and infrastructure</w:t>
            </w:r>
            <w:r w:rsidRPr="00665A77">
              <w:rPr>
                <w:sz w:val="20"/>
                <w:szCs w:val="20"/>
              </w:rPr>
              <w:t xml:space="preserve"> etc.</w:t>
            </w:r>
          </w:p>
        </w:tc>
        <w:tc>
          <w:tcPr>
            <w:tcW w:w="3567" w:type="dxa"/>
          </w:tcPr>
          <w:p w14:paraId="5BD76E75" w14:textId="77777777" w:rsidR="00FA5567" w:rsidRPr="00665A77" w:rsidRDefault="00FA5567" w:rsidP="00FA5567">
            <w:pPr>
              <w:pStyle w:val="TableParagraph"/>
              <w:numPr>
                <w:ilvl w:val="0"/>
                <w:numId w:val="29"/>
              </w:numPr>
              <w:tabs>
                <w:tab w:val="left" w:pos="307"/>
              </w:tabs>
              <w:spacing w:line="237" w:lineRule="auto"/>
              <w:ind w:right="142"/>
              <w:jc w:val="both"/>
              <w:rPr>
                <w:sz w:val="20"/>
                <w:szCs w:val="20"/>
              </w:rPr>
            </w:pPr>
            <w:r w:rsidRPr="00CF67D6">
              <w:rPr>
                <w:b/>
                <w:sz w:val="20"/>
                <w:szCs w:val="20"/>
              </w:rPr>
              <w:t xml:space="preserve">Indonesia </w:t>
            </w:r>
            <w:proofErr w:type="spellStart"/>
            <w:r w:rsidRPr="00CF67D6">
              <w:rPr>
                <w:b/>
                <w:sz w:val="20"/>
                <w:szCs w:val="20"/>
              </w:rPr>
              <w:t>Cerdas</w:t>
            </w:r>
            <w:proofErr w:type="spellEnd"/>
          </w:p>
          <w:p w14:paraId="72B57291" w14:textId="40792D76" w:rsidR="00FA5567" w:rsidRPr="00CF67D6" w:rsidRDefault="00FA5567" w:rsidP="00FA5567">
            <w:pPr>
              <w:pStyle w:val="TableParagraph"/>
              <w:tabs>
                <w:tab w:val="left" w:pos="307"/>
              </w:tabs>
              <w:spacing w:line="237" w:lineRule="auto"/>
              <w:ind w:left="307" w:right="142"/>
              <w:jc w:val="both"/>
              <w:rPr>
                <w:sz w:val="20"/>
                <w:szCs w:val="20"/>
              </w:rPr>
            </w:pPr>
            <w:r w:rsidRPr="00CF67D6">
              <w:rPr>
                <w:sz w:val="20"/>
                <w:szCs w:val="20"/>
              </w:rPr>
              <w:t>BRI Programs for Education include: Bank BRI Scholarship Assistance to students, School Equipment Packages for school s</w:t>
            </w:r>
            <w:r>
              <w:rPr>
                <w:sz w:val="20"/>
                <w:szCs w:val="20"/>
              </w:rPr>
              <w:t>tudents building study rooms etc.</w:t>
            </w:r>
          </w:p>
          <w:p w14:paraId="423AD099" w14:textId="77777777" w:rsidR="00FA5567" w:rsidRPr="00CF67D6" w:rsidRDefault="00FA5567" w:rsidP="00FA5567">
            <w:pPr>
              <w:pStyle w:val="TableParagraph"/>
              <w:tabs>
                <w:tab w:val="left" w:pos="307"/>
              </w:tabs>
              <w:spacing w:line="237" w:lineRule="auto"/>
              <w:ind w:left="360" w:right="440"/>
              <w:rPr>
                <w:b/>
                <w:sz w:val="20"/>
                <w:szCs w:val="20"/>
              </w:rPr>
            </w:pPr>
          </w:p>
        </w:tc>
      </w:tr>
      <w:tr w:rsidR="00E97A73" w:rsidRPr="00CF67D6" w14:paraId="37003C7B" w14:textId="77777777" w:rsidTr="00342DF6">
        <w:trPr>
          <w:trHeight w:val="1785"/>
        </w:trPr>
        <w:tc>
          <w:tcPr>
            <w:tcW w:w="1134" w:type="dxa"/>
            <w:vMerge/>
          </w:tcPr>
          <w:p w14:paraId="5FED8ED8" w14:textId="77777777" w:rsidR="00E97A73" w:rsidRDefault="00E97A73" w:rsidP="00CE3058">
            <w:pPr>
              <w:pStyle w:val="TableParagraph"/>
              <w:ind w:left="107" w:right="79"/>
              <w:rPr>
                <w:b/>
                <w:sz w:val="20"/>
                <w:szCs w:val="20"/>
              </w:rPr>
            </w:pPr>
          </w:p>
        </w:tc>
        <w:tc>
          <w:tcPr>
            <w:tcW w:w="3544" w:type="dxa"/>
          </w:tcPr>
          <w:p w14:paraId="58D3E3DB" w14:textId="77777777" w:rsidR="00E97A73" w:rsidRPr="00665A77" w:rsidRDefault="00E97A73" w:rsidP="00E97A73">
            <w:pPr>
              <w:pStyle w:val="TableParagraph"/>
              <w:numPr>
                <w:ilvl w:val="0"/>
                <w:numId w:val="29"/>
              </w:numPr>
              <w:tabs>
                <w:tab w:val="left" w:pos="384"/>
                <w:tab w:val="left" w:pos="4526"/>
              </w:tabs>
              <w:spacing w:before="1"/>
              <w:ind w:right="69"/>
              <w:jc w:val="both"/>
              <w:rPr>
                <w:b/>
                <w:sz w:val="20"/>
                <w:szCs w:val="20"/>
              </w:rPr>
            </w:pPr>
            <w:proofErr w:type="spellStart"/>
            <w:r w:rsidRPr="00665A77">
              <w:rPr>
                <w:b/>
                <w:sz w:val="20"/>
                <w:szCs w:val="20"/>
              </w:rPr>
              <w:t>Peduli</w:t>
            </w:r>
            <w:proofErr w:type="spellEnd"/>
            <w:r w:rsidRPr="00665A77">
              <w:rPr>
                <w:b/>
                <w:sz w:val="20"/>
                <w:szCs w:val="20"/>
              </w:rPr>
              <w:t xml:space="preserve"> </w:t>
            </w:r>
            <w:proofErr w:type="spellStart"/>
            <w:r w:rsidRPr="00665A77">
              <w:rPr>
                <w:b/>
                <w:sz w:val="20"/>
                <w:szCs w:val="20"/>
              </w:rPr>
              <w:t>Kesehatan</w:t>
            </w:r>
            <w:proofErr w:type="spellEnd"/>
            <w:r w:rsidRPr="00665A77">
              <w:rPr>
                <w:b/>
                <w:sz w:val="20"/>
                <w:szCs w:val="20"/>
              </w:rPr>
              <w:t xml:space="preserve"> </w:t>
            </w:r>
          </w:p>
          <w:p w14:paraId="378DCF48" w14:textId="53D91FB3" w:rsidR="00E97A73" w:rsidRDefault="00E97A73" w:rsidP="00E97A73">
            <w:pPr>
              <w:pStyle w:val="TableParagraph"/>
              <w:tabs>
                <w:tab w:val="left" w:pos="384"/>
                <w:tab w:val="left" w:pos="4526"/>
              </w:tabs>
              <w:spacing w:before="1"/>
              <w:ind w:left="360" w:right="69"/>
              <w:jc w:val="both"/>
              <w:rPr>
                <w:b/>
                <w:sz w:val="20"/>
                <w:szCs w:val="20"/>
              </w:rPr>
            </w:pPr>
            <w:r>
              <w:rPr>
                <w:sz w:val="20"/>
                <w:szCs w:val="20"/>
              </w:rPr>
              <w:t xml:space="preserve">Bank </w:t>
            </w:r>
            <w:proofErr w:type="spellStart"/>
            <w:r>
              <w:rPr>
                <w:sz w:val="20"/>
                <w:szCs w:val="20"/>
              </w:rPr>
              <w:t>Mandiri’s</w:t>
            </w:r>
            <w:proofErr w:type="spellEnd"/>
            <w:r>
              <w:rPr>
                <w:sz w:val="20"/>
                <w:szCs w:val="20"/>
              </w:rPr>
              <w:t xml:space="preserve"> CSR related to public health include: Cleft lip surgery assistance and medical devices, </w:t>
            </w:r>
            <w:proofErr w:type="spellStart"/>
            <w:r>
              <w:rPr>
                <w:sz w:val="20"/>
                <w:szCs w:val="20"/>
              </w:rPr>
              <w:t>posyandu</w:t>
            </w:r>
            <w:proofErr w:type="spellEnd"/>
            <w:r>
              <w:rPr>
                <w:sz w:val="20"/>
                <w:szCs w:val="20"/>
              </w:rPr>
              <w:t>, rehabilitation, hospital renovation, support tools of RSUD, free medical treatment and others</w:t>
            </w:r>
          </w:p>
        </w:tc>
        <w:tc>
          <w:tcPr>
            <w:tcW w:w="3567" w:type="dxa"/>
          </w:tcPr>
          <w:p w14:paraId="5DEF5518" w14:textId="77777777" w:rsidR="00E97A73" w:rsidRPr="00CF67D6" w:rsidRDefault="00E97A73" w:rsidP="00E97A73">
            <w:pPr>
              <w:pStyle w:val="TableParagraph"/>
              <w:numPr>
                <w:ilvl w:val="0"/>
                <w:numId w:val="20"/>
              </w:numPr>
              <w:tabs>
                <w:tab w:val="left" w:pos="307"/>
              </w:tabs>
              <w:spacing w:line="237" w:lineRule="auto"/>
              <w:ind w:left="307" w:right="284" w:hanging="307"/>
              <w:jc w:val="both"/>
              <w:rPr>
                <w:sz w:val="20"/>
                <w:szCs w:val="20"/>
              </w:rPr>
            </w:pPr>
            <w:r w:rsidRPr="00CF67D6">
              <w:rPr>
                <w:b/>
                <w:sz w:val="20"/>
                <w:szCs w:val="20"/>
              </w:rPr>
              <w:t xml:space="preserve">Indonesia </w:t>
            </w:r>
            <w:proofErr w:type="spellStart"/>
            <w:r w:rsidRPr="00CF67D6">
              <w:rPr>
                <w:b/>
                <w:sz w:val="20"/>
                <w:szCs w:val="20"/>
              </w:rPr>
              <w:t>Sehat</w:t>
            </w:r>
            <w:proofErr w:type="spellEnd"/>
            <w:r w:rsidRPr="00CF67D6">
              <w:rPr>
                <w:b/>
                <w:sz w:val="20"/>
                <w:szCs w:val="20"/>
              </w:rPr>
              <w:t xml:space="preserve"> </w:t>
            </w:r>
          </w:p>
          <w:p w14:paraId="5655DCB0" w14:textId="414A68BF" w:rsidR="00E97A73" w:rsidRPr="00E97A73" w:rsidRDefault="00E97A73" w:rsidP="00E97A73">
            <w:pPr>
              <w:pStyle w:val="TableParagraph"/>
              <w:tabs>
                <w:tab w:val="left" w:pos="307"/>
              </w:tabs>
              <w:spacing w:line="237" w:lineRule="auto"/>
              <w:ind w:left="307" w:right="142"/>
              <w:jc w:val="both"/>
              <w:rPr>
                <w:sz w:val="20"/>
                <w:szCs w:val="20"/>
              </w:rPr>
            </w:pPr>
            <w:r w:rsidRPr="00CF67D6">
              <w:rPr>
                <w:sz w:val="20"/>
                <w:szCs w:val="20"/>
              </w:rPr>
              <w:t xml:space="preserve">CSR programs in the Health Sector include providing free cataract surgery assistance at </w:t>
            </w:r>
            <w:proofErr w:type="spellStart"/>
            <w:r w:rsidRPr="00CF67D6">
              <w:rPr>
                <w:sz w:val="20"/>
                <w:szCs w:val="20"/>
              </w:rPr>
              <w:t>Sleman</w:t>
            </w:r>
            <w:proofErr w:type="spellEnd"/>
            <w:r w:rsidRPr="00CF67D6">
              <w:rPr>
                <w:sz w:val="20"/>
                <w:szCs w:val="20"/>
              </w:rPr>
              <w:t xml:space="preserve"> Hos</w:t>
            </w:r>
            <w:r>
              <w:rPr>
                <w:sz w:val="20"/>
                <w:szCs w:val="20"/>
              </w:rPr>
              <w:t>pital, providing 250 Ambulance u</w:t>
            </w:r>
            <w:r w:rsidRPr="00CF67D6">
              <w:rPr>
                <w:sz w:val="20"/>
                <w:szCs w:val="20"/>
              </w:rPr>
              <w:t xml:space="preserve">nits within 5 years, </w:t>
            </w:r>
            <w:r>
              <w:rPr>
                <w:sz w:val="20"/>
                <w:szCs w:val="20"/>
              </w:rPr>
              <w:t>speedboat to the government of South Barito regency, a</w:t>
            </w:r>
            <w:r w:rsidRPr="00CF67D6">
              <w:rPr>
                <w:sz w:val="20"/>
                <w:szCs w:val="20"/>
              </w:rPr>
              <w:t xml:space="preserve">mbulance to 411 / </w:t>
            </w:r>
            <w:proofErr w:type="spellStart"/>
            <w:r>
              <w:rPr>
                <w:sz w:val="20"/>
                <w:szCs w:val="20"/>
              </w:rPr>
              <w:t>Pandawa</w:t>
            </w:r>
            <w:proofErr w:type="spellEnd"/>
            <w:r>
              <w:rPr>
                <w:sz w:val="20"/>
                <w:szCs w:val="20"/>
              </w:rPr>
              <w:t xml:space="preserve"> </w:t>
            </w:r>
            <w:proofErr w:type="spellStart"/>
            <w:r>
              <w:rPr>
                <w:sz w:val="20"/>
                <w:szCs w:val="20"/>
              </w:rPr>
              <w:t>Salatiga</w:t>
            </w:r>
            <w:proofErr w:type="spellEnd"/>
            <w:r>
              <w:rPr>
                <w:sz w:val="20"/>
                <w:szCs w:val="20"/>
              </w:rPr>
              <w:t xml:space="preserve"> and </w:t>
            </w:r>
            <w:proofErr w:type="spellStart"/>
            <w:r>
              <w:rPr>
                <w:sz w:val="20"/>
                <w:szCs w:val="20"/>
              </w:rPr>
              <w:t>Brajasakti</w:t>
            </w:r>
            <w:proofErr w:type="spellEnd"/>
            <w:r>
              <w:rPr>
                <w:sz w:val="20"/>
                <w:szCs w:val="20"/>
              </w:rPr>
              <w:t xml:space="preserve"> </w:t>
            </w:r>
            <w:proofErr w:type="spellStart"/>
            <w:r w:rsidRPr="00CF67D6">
              <w:rPr>
                <w:sz w:val="20"/>
                <w:szCs w:val="20"/>
              </w:rPr>
              <w:t>Payakumbuh</w:t>
            </w:r>
            <w:proofErr w:type="spellEnd"/>
            <w:r w:rsidRPr="00CF67D6">
              <w:rPr>
                <w:sz w:val="20"/>
                <w:szCs w:val="20"/>
              </w:rPr>
              <w:t xml:space="preserve"> </w:t>
            </w:r>
            <w:r>
              <w:rPr>
                <w:sz w:val="20"/>
                <w:szCs w:val="20"/>
              </w:rPr>
              <w:t>and others</w:t>
            </w:r>
          </w:p>
        </w:tc>
      </w:tr>
      <w:tr w:rsidR="00E97A73" w:rsidRPr="00CF67D6" w14:paraId="5A82F50F" w14:textId="77777777" w:rsidTr="00342DF6">
        <w:trPr>
          <w:trHeight w:val="1785"/>
        </w:trPr>
        <w:tc>
          <w:tcPr>
            <w:tcW w:w="1134" w:type="dxa"/>
            <w:vMerge/>
          </w:tcPr>
          <w:p w14:paraId="4A9EB3EE" w14:textId="77777777" w:rsidR="00E97A73" w:rsidRDefault="00E97A73" w:rsidP="00CE3058">
            <w:pPr>
              <w:pStyle w:val="TableParagraph"/>
              <w:ind w:left="107" w:right="79"/>
              <w:rPr>
                <w:b/>
                <w:sz w:val="20"/>
                <w:szCs w:val="20"/>
              </w:rPr>
            </w:pPr>
          </w:p>
        </w:tc>
        <w:tc>
          <w:tcPr>
            <w:tcW w:w="3544" w:type="dxa"/>
          </w:tcPr>
          <w:p w14:paraId="3A14BF45" w14:textId="77777777" w:rsidR="00E97A73" w:rsidRDefault="00E97A73" w:rsidP="00E97A73">
            <w:pPr>
              <w:pStyle w:val="TableParagraph"/>
              <w:numPr>
                <w:ilvl w:val="0"/>
                <w:numId w:val="29"/>
              </w:numPr>
              <w:tabs>
                <w:tab w:val="left" w:pos="384"/>
                <w:tab w:val="left" w:pos="4526"/>
              </w:tabs>
              <w:spacing w:before="1"/>
              <w:ind w:right="69"/>
              <w:jc w:val="both"/>
              <w:rPr>
                <w:b/>
                <w:sz w:val="20"/>
                <w:szCs w:val="20"/>
              </w:rPr>
            </w:pPr>
            <w:proofErr w:type="spellStart"/>
            <w:r>
              <w:rPr>
                <w:b/>
                <w:sz w:val="20"/>
                <w:szCs w:val="20"/>
              </w:rPr>
              <w:t>Peduli</w:t>
            </w:r>
            <w:proofErr w:type="spellEnd"/>
            <w:r>
              <w:rPr>
                <w:b/>
                <w:sz w:val="20"/>
                <w:szCs w:val="20"/>
              </w:rPr>
              <w:t xml:space="preserve"> </w:t>
            </w:r>
            <w:proofErr w:type="spellStart"/>
            <w:r>
              <w:rPr>
                <w:b/>
                <w:sz w:val="20"/>
                <w:szCs w:val="20"/>
              </w:rPr>
              <w:t>Lingkungan</w:t>
            </w:r>
            <w:proofErr w:type="spellEnd"/>
            <w:r>
              <w:rPr>
                <w:b/>
                <w:sz w:val="20"/>
                <w:szCs w:val="20"/>
              </w:rPr>
              <w:t xml:space="preserve"> </w:t>
            </w:r>
          </w:p>
          <w:p w14:paraId="456984A2" w14:textId="12B3254C" w:rsidR="00E97A73" w:rsidRPr="00E97A73" w:rsidRDefault="00E97A73" w:rsidP="00E97A73">
            <w:pPr>
              <w:pStyle w:val="TableParagraph"/>
              <w:tabs>
                <w:tab w:val="left" w:pos="384"/>
                <w:tab w:val="left" w:pos="4526"/>
              </w:tabs>
              <w:spacing w:before="1"/>
              <w:ind w:left="360" w:right="69"/>
              <w:jc w:val="both"/>
              <w:rPr>
                <w:sz w:val="20"/>
                <w:szCs w:val="20"/>
              </w:rPr>
            </w:pPr>
            <w:r w:rsidRPr="00E97A73">
              <w:rPr>
                <w:sz w:val="20"/>
                <w:szCs w:val="20"/>
              </w:rPr>
              <w:t xml:space="preserve">Bank </w:t>
            </w:r>
            <w:proofErr w:type="spellStart"/>
            <w:r w:rsidRPr="00E97A73">
              <w:rPr>
                <w:sz w:val="20"/>
                <w:szCs w:val="20"/>
              </w:rPr>
              <w:t>Mandiri’s</w:t>
            </w:r>
            <w:proofErr w:type="spellEnd"/>
            <w:r w:rsidRPr="00E97A73">
              <w:rPr>
                <w:sz w:val="20"/>
                <w:szCs w:val="20"/>
              </w:rPr>
              <w:t xml:space="preserve"> CSR Program related to environmental concern including: Program changes in the </w:t>
            </w:r>
            <w:proofErr w:type="spellStart"/>
            <w:r w:rsidRPr="00E97A73">
              <w:rPr>
                <w:sz w:val="20"/>
                <w:szCs w:val="20"/>
              </w:rPr>
              <w:t>Johar</w:t>
            </w:r>
            <w:proofErr w:type="spellEnd"/>
            <w:r w:rsidRPr="00E97A73">
              <w:rPr>
                <w:sz w:val="20"/>
                <w:szCs w:val="20"/>
              </w:rPr>
              <w:t xml:space="preserve"> </w:t>
            </w:r>
            <w:proofErr w:type="spellStart"/>
            <w:r w:rsidRPr="00E97A73">
              <w:rPr>
                <w:sz w:val="20"/>
                <w:szCs w:val="20"/>
              </w:rPr>
              <w:t>Baru</w:t>
            </w:r>
            <w:proofErr w:type="spellEnd"/>
            <w:r w:rsidRPr="00E97A73">
              <w:rPr>
                <w:sz w:val="20"/>
                <w:szCs w:val="20"/>
              </w:rPr>
              <w:t xml:space="preserve"> Village, joint homecoming and cheap markets in the framework of </w:t>
            </w:r>
            <w:proofErr w:type="spellStart"/>
            <w:r w:rsidRPr="00E97A73">
              <w:rPr>
                <w:sz w:val="20"/>
                <w:szCs w:val="20"/>
              </w:rPr>
              <w:t>Eid</w:t>
            </w:r>
            <w:proofErr w:type="spellEnd"/>
            <w:r w:rsidRPr="00E97A73">
              <w:rPr>
                <w:sz w:val="20"/>
                <w:szCs w:val="20"/>
              </w:rPr>
              <w:t xml:space="preserve"> and </w:t>
            </w:r>
            <w:r>
              <w:rPr>
                <w:sz w:val="20"/>
                <w:szCs w:val="20"/>
              </w:rPr>
              <w:t>others.</w:t>
            </w:r>
          </w:p>
        </w:tc>
        <w:tc>
          <w:tcPr>
            <w:tcW w:w="3567" w:type="dxa"/>
          </w:tcPr>
          <w:p w14:paraId="3DA51873" w14:textId="77777777" w:rsidR="00E97A73" w:rsidRDefault="00E97A73" w:rsidP="00E97A73">
            <w:pPr>
              <w:pStyle w:val="TableParagraph"/>
              <w:numPr>
                <w:ilvl w:val="0"/>
                <w:numId w:val="20"/>
              </w:numPr>
              <w:tabs>
                <w:tab w:val="left" w:pos="307"/>
              </w:tabs>
              <w:spacing w:line="237" w:lineRule="auto"/>
              <w:ind w:left="307" w:right="284" w:hanging="284"/>
              <w:jc w:val="both"/>
              <w:rPr>
                <w:sz w:val="20"/>
                <w:szCs w:val="20"/>
              </w:rPr>
            </w:pPr>
            <w:r w:rsidRPr="00CF67D6">
              <w:rPr>
                <w:b/>
                <w:sz w:val="20"/>
                <w:szCs w:val="20"/>
              </w:rPr>
              <w:t>Indonesia Lestari</w:t>
            </w:r>
            <w:r w:rsidRPr="00CF67D6">
              <w:rPr>
                <w:sz w:val="20"/>
                <w:szCs w:val="20"/>
              </w:rPr>
              <w:t xml:space="preserve"> </w:t>
            </w:r>
          </w:p>
          <w:p w14:paraId="7C120627" w14:textId="6DC8593F" w:rsidR="00E97A73" w:rsidRPr="00E97A73" w:rsidRDefault="00E97A73" w:rsidP="00E97A73">
            <w:pPr>
              <w:pStyle w:val="TableParagraph"/>
              <w:tabs>
                <w:tab w:val="left" w:pos="307"/>
              </w:tabs>
              <w:spacing w:line="237" w:lineRule="auto"/>
              <w:ind w:left="307" w:right="142"/>
              <w:jc w:val="both"/>
              <w:rPr>
                <w:sz w:val="20"/>
                <w:szCs w:val="20"/>
              </w:rPr>
            </w:pPr>
            <w:r w:rsidRPr="00CF67D6">
              <w:rPr>
                <w:sz w:val="20"/>
                <w:szCs w:val="20"/>
              </w:rPr>
              <w:t xml:space="preserve">Environmental programs include: BRI donates 5000 mangrove seedlings to prevent abrasion from breeding coral reefs and channeling 700 million funds for environmental </w:t>
            </w:r>
            <w:r>
              <w:rPr>
                <w:sz w:val="20"/>
                <w:szCs w:val="20"/>
              </w:rPr>
              <w:t>conservation</w:t>
            </w:r>
          </w:p>
        </w:tc>
      </w:tr>
      <w:tr w:rsidR="003333FB" w:rsidRPr="00CF67D6" w14:paraId="7621A2F3" w14:textId="77777777" w:rsidTr="00342DF6">
        <w:trPr>
          <w:trHeight w:val="276"/>
        </w:trPr>
        <w:tc>
          <w:tcPr>
            <w:tcW w:w="1134" w:type="dxa"/>
            <w:vMerge/>
          </w:tcPr>
          <w:p w14:paraId="2B5573A9" w14:textId="48FA9DCC" w:rsidR="003333FB" w:rsidRPr="00CF67D6" w:rsidRDefault="003333FB" w:rsidP="00CE3058">
            <w:pPr>
              <w:pStyle w:val="TableParagraph"/>
              <w:ind w:left="107" w:right="79"/>
              <w:rPr>
                <w:b/>
                <w:sz w:val="20"/>
                <w:szCs w:val="20"/>
              </w:rPr>
            </w:pPr>
          </w:p>
        </w:tc>
        <w:tc>
          <w:tcPr>
            <w:tcW w:w="3544" w:type="dxa"/>
          </w:tcPr>
          <w:p w14:paraId="4DBC1516" w14:textId="300B7B5E" w:rsidR="00E97A73" w:rsidRDefault="003333FB" w:rsidP="00E97A73">
            <w:pPr>
              <w:pStyle w:val="TableParagraph"/>
              <w:numPr>
                <w:ilvl w:val="0"/>
                <w:numId w:val="20"/>
              </w:numPr>
              <w:tabs>
                <w:tab w:val="left" w:pos="384"/>
                <w:tab w:val="left" w:pos="4526"/>
              </w:tabs>
              <w:spacing w:before="1"/>
              <w:ind w:right="69"/>
              <w:jc w:val="both"/>
              <w:rPr>
                <w:sz w:val="20"/>
                <w:szCs w:val="20"/>
              </w:rPr>
            </w:pPr>
            <w:r w:rsidRPr="00CF67D6">
              <w:rPr>
                <w:b/>
                <w:sz w:val="20"/>
                <w:szCs w:val="20"/>
              </w:rPr>
              <w:t xml:space="preserve">Facilities - Infrastructure </w:t>
            </w:r>
          </w:p>
          <w:p w14:paraId="0842F7AF" w14:textId="54C886B2" w:rsidR="003333FB" w:rsidRPr="00E97A73" w:rsidRDefault="003333FB" w:rsidP="00E97A73">
            <w:pPr>
              <w:pStyle w:val="TableParagraph"/>
              <w:tabs>
                <w:tab w:val="left" w:pos="384"/>
                <w:tab w:val="left" w:pos="4526"/>
              </w:tabs>
              <w:spacing w:before="1"/>
              <w:ind w:left="426" w:right="69"/>
              <w:jc w:val="both"/>
              <w:rPr>
                <w:sz w:val="20"/>
                <w:szCs w:val="20"/>
              </w:rPr>
            </w:pPr>
            <w:r w:rsidRPr="00E97A73">
              <w:rPr>
                <w:sz w:val="20"/>
                <w:szCs w:val="20"/>
              </w:rPr>
              <w:t xml:space="preserve">CSR activities related to infrastructure development, public facilities and infrastructure, including conducting house renovations for teachers </w:t>
            </w:r>
            <w:r w:rsidR="00E97A73">
              <w:rPr>
                <w:sz w:val="20"/>
                <w:szCs w:val="20"/>
              </w:rPr>
              <w:t>and</w:t>
            </w:r>
            <w:r w:rsidRPr="00E97A73">
              <w:rPr>
                <w:sz w:val="20"/>
                <w:szCs w:val="20"/>
              </w:rPr>
              <w:t xml:space="preserve"> veteran</w:t>
            </w:r>
            <w:r w:rsidR="00E97A73">
              <w:rPr>
                <w:sz w:val="20"/>
                <w:szCs w:val="20"/>
              </w:rPr>
              <w:t xml:space="preserve">, </w:t>
            </w:r>
            <w:r w:rsidRPr="00E97A73">
              <w:rPr>
                <w:sz w:val="20"/>
                <w:szCs w:val="20"/>
              </w:rPr>
              <w:t xml:space="preserve">home improvement  </w:t>
            </w:r>
            <w:r w:rsidR="00E97A73">
              <w:rPr>
                <w:sz w:val="20"/>
                <w:szCs w:val="20"/>
              </w:rPr>
              <w:t>ant others facilities</w:t>
            </w:r>
          </w:p>
        </w:tc>
        <w:tc>
          <w:tcPr>
            <w:tcW w:w="3567" w:type="dxa"/>
          </w:tcPr>
          <w:p w14:paraId="150D2BF4" w14:textId="77777777" w:rsidR="00E97A73" w:rsidRDefault="003333FB" w:rsidP="00E97A73">
            <w:pPr>
              <w:pStyle w:val="TableParagraph"/>
              <w:numPr>
                <w:ilvl w:val="0"/>
                <w:numId w:val="20"/>
              </w:numPr>
              <w:tabs>
                <w:tab w:val="left" w:pos="307"/>
              </w:tabs>
              <w:spacing w:line="237" w:lineRule="auto"/>
              <w:ind w:right="440"/>
              <w:rPr>
                <w:sz w:val="20"/>
                <w:szCs w:val="20"/>
              </w:rPr>
            </w:pPr>
            <w:r w:rsidRPr="00CF67D6">
              <w:rPr>
                <w:b/>
                <w:sz w:val="20"/>
                <w:szCs w:val="20"/>
              </w:rPr>
              <w:t xml:space="preserve">Indonesia </w:t>
            </w:r>
            <w:proofErr w:type="spellStart"/>
            <w:r w:rsidRPr="00CF67D6">
              <w:rPr>
                <w:b/>
                <w:sz w:val="20"/>
                <w:szCs w:val="20"/>
              </w:rPr>
              <w:t>Membangun</w:t>
            </w:r>
            <w:proofErr w:type="spellEnd"/>
          </w:p>
          <w:p w14:paraId="0C24AD86" w14:textId="52BF047A" w:rsidR="003333FB" w:rsidRPr="00E97A73" w:rsidRDefault="00E97A73" w:rsidP="00E97A73">
            <w:pPr>
              <w:pStyle w:val="TableParagraph"/>
              <w:tabs>
                <w:tab w:val="left" w:pos="307"/>
              </w:tabs>
              <w:spacing w:line="237" w:lineRule="auto"/>
              <w:ind w:left="307" w:right="142"/>
              <w:jc w:val="both"/>
              <w:rPr>
                <w:sz w:val="20"/>
                <w:szCs w:val="20"/>
              </w:rPr>
            </w:pPr>
            <w:r>
              <w:rPr>
                <w:sz w:val="20"/>
                <w:szCs w:val="20"/>
              </w:rPr>
              <w:t>T</w:t>
            </w:r>
            <w:r w:rsidRPr="00E97A73">
              <w:rPr>
                <w:sz w:val="20"/>
                <w:szCs w:val="20"/>
              </w:rPr>
              <w:t xml:space="preserve">his </w:t>
            </w:r>
            <w:r w:rsidR="003333FB" w:rsidRPr="00E97A73">
              <w:rPr>
                <w:sz w:val="20"/>
                <w:szCs w:val="20"/>
              </w:rPr>
              <w:t xml:space="preserve"> programs are constructive intended for the Development of Nature Tourism in several places and the construction of religious facilities</w:t>
            </w:r>
          </w:p>
        </w:tc>
      </w:tr>
    </w:tbl>
    <w:p w14:paraId="6FB3976E" w14:textId="0259250C" w:rsidR="00972F5B" w:rsidRPr="00CF67D6" w:rsidRDefault="00A833CD" w:rsidP="00CF67D6">
      <w:pPr>
        <w:jc w:val="both"/>
        <w:rPr>
          <w:rFonts w:eastAsia="Times"/>
          <w:color w:val="auto"/>
        </w:rPr>
      </w:pPr>
      <w:r w:rsidRPr="00CF67D6">
        <w:rPr>
          <w:rFonts w:eastAsia="Times"/>
          <w:color w:val="auto"/>
        </w:rPr>
        <w:t xml:space="preserve">Source : </w:t>
      </w:r>
      <w:r w:rsidR="00F23A5F" w:rsidRPr="00CF67D6">
        <w:fldChar w:fldCharType="begin"/>
      </w:r>
      <w:r w:rsidR="00F23A5F" w:rsidRPr="00CF67D6">
        <w:instrText xml:space="preserve"> HYPERLINK "http://www.mandiri.co.id" </w:instrText>
      </w:r>
      <w:r w:rsidR="00F23A5F" w:rsidRPr="00CF67D6">
        <w:fldChar w:fldCharType="separate"/>
      </w:r>
      <w:r w:rsidRPr="00CF67D6">
        <w:rPr>
          <w:rStyle w:val="Hyperlink"/>
          <w:rFonts w:eastAsia="Times"/>
          <w:color w:val="auto"/>
          <w:u w:val="none"/>
        </w:rPr>
        <w:t>www.mandiri.co.id</w:t>
      </w:r>
      <w:r w:rsidR="00F23A5F" w:rsidRPr="00CF67D6">
        <w:rPr>
          <w:rStyle w:val="Hyperlink"/>
          <w:rFonts w:eastAsia="Times"/>
          <w:color w:val="auto"/>
          <w:u w:val="none"/>
        </w:rPr>
        <w:fldChar w:fldCharType="end"/>
      </w:r>
      <w:r w:rsidRPr="00CF67D6">
        <w:rPr>
          <w:rFonts w:eastAsia="Times"/>
          <w:color w:val="auto"/>
        </w:rPr>
        <w:t xml:space="preserve"> and www.bri.co.id</w:t>
      </w:r>
    </w:p>
    <w:p w14:paraId="64812A42" w14:textId="77777777" w:rsidR="00CF67D6" w:rsidRDefault="00CF67D6" w:rsidP="00E57DC9">
      <w:pPr>
        <w:ind w:firstLine="567"/>
        <w:jc w:val="both"/>
        <w:rPr>
          <w:rFonts w:eastAsia="Times"/>
        </w:rPr>
      </w:pPr>
    </w:p>
    <w:p w14:paraId="2957B7F7" w14:textId="77777777" w:rsidR="00B40760" w:rsidRPr="00CF67D6" w:rsidRDefault="00B40760" w:rsidP="00E57DC9">
      <w:pPr>
        <w:ind w:firstLine="567"/>
        <w:jc w:val="both"/>
        <w:rPr>
          <w:rFonts w:eastAsia="Times"/>
        </w:rPr>
      </w:pPr>
    </w:p>
    <w:p w14:paraId="520D28B7" w14:textId="77777777" w:rsidR="00A86099" w:rsidRPr="00CF67D6" w:rsidRDefault="00A86099" w:rsidP="00CF67D6">
      <w:pPr>
        <w:jc w:val="both"/>
        <w:rPr>
          <w:rFonts w:eastAsia="Times"/>
        </w:rPr>
      </w:pPr>
    </w:p>
    <w:p w14:paraId="4E656B2A" w14:textId="23CD191E" w:rsidR="00612040" w:rsidRPr="00612040" w:rsidRDefault="00BA2F58" w:rsidP="00612040">
      <w:pPr>
        <w:ind w:firstLine="567"/>
        <w:jc w:val="center"/>
        <w:rPr>
          <w:rFonts w:eastAsia="Times"/>
          <w:b/>
        </w:rPr>
      </w:pPr>
      <w:r>
        <w:rPr>
          <w:rFonts w:eastAsia="Times"/>
          <w:b/>
        </w:rPr>
        <w:lastRenderedPageBreak/>
        <w:t>Table</w:t>
      </w:r>
      <w:r w:rsidR="00CF67D6">
        <w:rPr>
          <w:rFonts w:eastAsia="Times"/>
          <w:b/>
        </w:rPr>
        <w:t xml:space="preserve"> 2. CSR of Bank Mandiri and</w:t>
      </w:r>
      <w:r w:rsidR="00A86099" w:rsidRPr="00CF67D6">
        <w:rPr>
          <w:rFonts w:eastAsia="Times"/>
          <w:b/>
        </w:rPr>
        <w:t xml:space="preserve"> Bank Rakyat Indonesia </w:t>
      </w:r>
      <w:r w:rsidR="00CF67D6">
        <w:rPr>
          <w:rFonts w:eastAsia="Times"/>
          <w:b/>
        </w:rPr>
        <w:t xml:space="preserve">in </w:t>
      </w:r>
      <w:r w:rsidR="00A86099" w:rsidRPr="00CF67D6">
        <w:rPr>
          <w:rFonts w:eastAsia="Times"/>
          <w:b/>
        </w:rPr>
        <w:t>New Normal</w:t>
      </w:r>
    </w:p>
    <w:tbl>
      <w:tblPr>
        <w:tblStyle w:val="TableGrid"/>
        <w:tblW w:w="8188" w:type="dxa"/>
        <w:tblLook w:val="04A0" w:firstRow="1" w:lastRow="0" w:firstColumn="1" w:lastColumn="0" w:noHBand="0" w:noVBand="1"/>
      </w:tblPr>
      <w:tblGrid>
        <w:gridCol w:w="1573"/>
        <w:gridCol w:w="2668"/>
        <w:gridCol w:w="3947"/>
      </w:tblGrid>
      <w:tr w:rsidR="00CC02D2" w:rsidRPr="00CF67D6" w14:paraId="32535AE1" w14:textId="77777777" w:rsidTr="00E97A73">
        <w:tc>
          <w:tcPr>
            <w:tcW w:w="1573" w:type="dxa"/>
            <w:shd w:val="clear" w:color="auto" w:fill="8EAADB" w:themeFill="accent1" w:themeFillTint="99"/>
          </w:tcPr>
          <w:p w14:paraId="62C123FE" w14:textId="6AF925C4" w:rsidR="00E57DC9" w:rsidRPr="00CF67D6" w:rsidRDefault="00972F5B" w:rsidP="00B36FCD">
            <w:pPr>
              <w:contextualSpacing/>
              <w:rPr>
                <w:rFonts w:ascii="Times New Roman" w:hAnsi="Times New Roman" w:cs="Times New Roman"/>
                <w:b/>
                <w:sz w:val="20"/>
                <w:szCs w:val="20"/>
              </w:rPr>
            </w:pPr>
            <w:r w:rsidRPr="00CF67D6">
              <w:rPr>
                <w:rFonts w:ascii="Times New Roman" w:hAnsi="Times New Roman" w:cs="Times New Roman"/>
                <w:b/>
                <w:sz w:val="20"/>
                <w:szCs w:val="20"/>
              </w:rPr>
              <w:t>Name of</w:t>
            </w:r>
            <w:r w:rsidR="00B36FCD">
              <w:rPr>
                <w:rFonts w:ascii="Times New Roman" w:hAnsi="Times New Roman" w:cs="Times New Roman"/>
                <w:b/>
                <w:sz w:val="20"/>
                <w:szCs w:val="20"/>
              </w:rPr>
              <w:t xml:space="preserve"> </w:t>
            </w:r>
            <w:r w:rsidR="00E57DC9" w:rsidRPr="00CF67D6">
              <w:rPr>
                <w:rFonts w:ascii="Times New Roman" w:hAnsi="Times New Roman" w:cs="Times New Roman"/>
                <w:b/>
                <w:sz w:val="20"/>
                <w:szCs w:val="20"/>
              </w:rPr>
              <w:t xml:space="preserve">Bank </w:t>
            </w:r>
          </w:p>
        </w:tc>
        <w:tc>
          <w:tcPr>
            <w:tcW w:w="2668" w:type="dxa"/>
            <w:shd w:val="clear" w:color="auto" w:fill="8EAADB" w:themeFill="accent1" w:themeFillTint="99"/>
          </w:tcPr>
          <w:p w14:paraId="268EA1A4" w14:textId="62C3508D" w:rsidR="00E57DC9" w:rsidRPr="00CF67D6" w:rsidRDefault="00972F5B" w:rsidP="00972F5B">
            <w:pPr>
              <w:contextualSpacing/>
              <w:jc w:val="center"/>
              <w:rPr>
                <w:rFonts w:ascii="Times New Roman" w:hAnsi="Times New Roman" w:cs="Times New Roman"/>
                <w:b/>
                <w:sz w:val="20"/>
                <w:szCs w:val="20"/>
              </w:rPr>
            </w:pPr>
            <w:r w:rsidRPr="00CF67D6">
              <w:rPr>
                <w:rFonts w:ascii="Times New Roman" w:hAnsi="Times New Roman" w:cs="Times New Roman"/>
                <w:b/>
                <w:sz w:val="20"/>
                <w:szCs w:val="20"/>
              </w:rPr>
              <w:t xml:space="preserve">CSR </w:t>
            </w:r>
            <w:r w:rsidR="00E57DC9" w:rsidRPr="00CF67D6">
              <w:rPr>
                <w:rFonts w:ascii="Times New Roman" w:hAnsi="Times New Roman" w:cs="Times New Roman"/>
                <w:b/>
                <w:sz w:val="20"/>
                <w:szCs w:val="20"/>
              </w:rPr>
              <w:t>Program</w:t>
            </w:r>
          </w:p>
        </w:tc>
        <w:tc>
          <w:tcPr>
            <w:tcW w:w="3947" w:type="dxa"/>
            <w:shd w:val="clear" w:color="auto" w:fill="8EAADB" w:themeFill="accent1" w:themeFillTint="99"/>
          </w:tcPr>
          <w:p w14:paraId="72A4D979" w14:textId="77777777" w:rsidR="00E57DC9" w:rsidRDefault="00972F5B" w:rsidP="003A7E7B">
            <w:pPr>
              <w:contextualSpacing/>
              <w:jc w:val="center"/>
              <w:rPr>
                <w:rFonts w:ascii="Times New Roman" w:hAnsi="Times New Roman" w:cs="Times New Roman"/>
                <w:b/>
                <w:sz w:val="20"/>
                <w:szCs w:val="20"/>
              </w:rPr>
            </w:pPr>
            <w:r w:rsidRPr="00CF67D6">
              <w:rPr>
                <w:rFonts w:ascii="Times New Roman" w:hAnsi="Times New Roman" w:cs="Times New Roman"/>
                <w:b/>
                <w:sz w:val="20"/>
                <w:szCs w:val="20"/>
              </w:rPr>
              <w:t>Activities</w:t>
            </w:r>
          </w:p>
          <w:p w14:paraId="48DBC64D" w14:textId="3DF99152" w:rsidR="00612040" w:rsidRPr="00CF67D6" w:rsidRDefault="00612040" w:rsidP="003A7E7B">
            <w:pPr>
              <w:contextualSpacing/>
              <w:jc w:val="center"/>
              <w:rPr>
                <w:rFonts w:ascii="Times New Roman" w:hAnsi="Times New Roman" w:cs="Times New Roman"/>
                <w:b/>
                <w:sz w:val="20"/>
                <w:szCs w:val="20"/>
              </w:rPr>
            </w:pPr>
          </w:p>
        </w:tc>
      </w:tr>
      <w:tr w:rsidR="00CC02D2" w:rsidRPr="00CF67D6" w14:paraId="5F764CA6" w14:textId="77777777" w:rsidTr="00E97A73">
        <w:tc>
          <w:tcPr>
            <w:tcW w:w="1573" w:type="dxa"/>
          </w:tcPr>
          <w:p w14:paraId="42D23A96" w14:textId="77777777" w:rsidR="00E57DC9" w:rsidRPr="00CF67D6" w:rsidRDefault="00E57DC9" w:rsidP="00E57DC9">
            <w:pPr>
              <w:contextualSpacing/>
              <w:jc w:val="both"/>
              <w:rPr>
                <w:rFonts w:ascii="Times New Roman" w:hAnsi="Times New Roman" w:cs="Times New Roman"/>
                <w:sz w:val="20"/>
                <w:szCs w:val="20"/>
              </w:rPr>
            </w:pPr>
            <w:r w:rsidRPr="00CF67D6">
              <w:rPr>
                <w:rFonts w:ascii="Times New Roman" w:hAnsi="Times New Roman" w:cs="Times New Roman"/>
                <w:sz w:val="20"/>
                <w:szCs w:val="20"/>
              </w:rPr>
              <w:t>BRI</w:t>
            </w:r>
          </w:p>
        </w:tc>
        <w:tc>
          <w:tcPr>
            <w:tcW w:w="2668" w:type="dxa"/>
          </w:tcPr>
          <w:p w14:paraId="161E65F6" w14:textId="4793C0A8" w:rsidR="00E57DC9" w:rsidRPr="00CF67D6" w:rsidRDefault="00E57DC9" w:rsidP="00E57DC9">
            <w:pPr>
              <w:contextualSpacing/>
              <w:jc w:val="both"/>
              <w:rPr>
                <w:rFonts w:ascii="Times New Roman" w:hAnsi="Times New Roman" w:cs="Times New Roman"/>
                <w:sz w:val="20"/>
                <w:szCs w:val="20"/>
              </w:rPr>
            </w:pPr>
            <w:r w:rsidRPr="00CF67D6">
              <w:rPr>
                <w:rFonts w:ascii="Times New Roman" w:hAnsi="Times New Roman" w:cs="Times New Roman"/>
                <w:sz w:val="20"/>
                <w:szCs w:val="20"/>
              </w:rPr>
              <w:t xml:space="preserve">Corporate Social Responsibility (CSR) BRI </w:t>
            </w:r>
            <w:proofErr w:type="spellStart"/>
            <w:r w:rsidRPr="00CF67D6">
              <w:rPr>
                <w:rFonts w:ascii="Times New Roman" w:hAnsi="Times New Roman" w:cs="Times New Roman"/>
                <w:sz w:val="20"/>
                <w:szCs w:val="20"/>
              </w:rPr>
              <w:t>Peduli</w:t>
            </w:r>
            <w:proofErr w:type="spellEnd"/>
            <w:r w:rsidR="00A501EA" w:rsidRPr="00CF67D6">
              <w:rPr>
                <w:rFonts w:ascii="Times New Roman" w:hAnsi="Times New Roman" w:cs="Times New Roman"/>
                <w:sz w:val="20"/>
                <w:szCs w:val="20"/>
              </w:rPr>
              <w:t xml:space="preserve"> – Indonesia </w:t>
            </w:r>
            <w:proofErr w:type="spellStart"/>
            <w:r w:rsidR="00A501EA" w:rsidRPr="00CF67D6">
              <w:rPr>
                <w:rFonts w:ascii="Times New Roman" w:hAnsi="Times New Roman" w:cs="Times New Roman"/>
                <w:sz w:val="20"/>
                <w:szCs w:val="20"/>
              </w:rPr>
              <w:t>Sehat</w:t>
            </w:r>
            <w:proofErr w:type="spellEnd"/>
          </w:p>
        </w:tc>
        <w:tc>
          <w:tcPr>
            <w:tcW w:w="3947" w:type="dxa"/>
          </w:tcPr>
          <w:p w14:paraId="4A3CC433" w14:textId="1D9C7AA9" w:rsidR="001A29D8" w:rsidRPr="00CF67D6" w:rsidRDefault="00972F5B" w:rsidP="001A29D8">
            <w:pPr>
              <w:pStyle w:val="ListParagraph"/>
              <w:numPr>
                <w:ilvl w:val="0"/>
                <w:numId w:val="24"/>
              </w:numPr>
              <w:jc w:val="both"/>
              <w:rPr>
                <w:rFonts w:ascii="Times New Roman" w:hAnsi="Times New Roman" w:cs="Times New Roman"/>
                <w:sz w:val="20"/>
                <w:szCs w:val="20"/>
              </w:rPr>
            </w:pPr>
            <w:r w:rsidRPr="00CF67D6">
              <w:rPr>
                <w:rFonts w:ascii="Times New Roman" w:hAnsi="Times New Roman" w:cs="Times New Roman"/>
                <w:sz w:val="20"/>
                <w:szCs w:val="20"/>
              </w:rPr>
              <w:t xml:space="preserve">BRI has provided additional interest subsidies in II (two) stages. The first phase BRI distributed a KUR interest subsidy stimulus of </w:t>
            </w:r>
            <w:proofErr w:type="spellStart"/>
            <w:r w:rsidRPr="00CF67D6">
              <w:rPr>
                <w:rFonts w:ascii="Times New Roman" w:hAnsi="Times New Roman" w:cs="Times New Roman"/>
                <w:sz w:val="20"/>
                <w:szCs w:val="20"/>
              </w:rPr>
              <w:t>Rp</w:t>
            </w:r>
            <w:proofErr w:type="spellEnd"/>
            <w:r w:rsidR="00B36FCD">
              <w:rPr>
                <w:rFonts w:ascii="Times New Roman" w:hAnsi="Times New Roman" w:cs="Times New Roman"/>
                <w:sz w:val="20"/>
                <w:szCs w:val="20"/>
              </w:rPr>
              <w:t xml:space="preserve"> 23</w:t>
            </w:r>
            <w:r w:rsidRPr="00CF67D6">
              <w:rPr>
                <w:rFonts w:ascii="Times New Roman" w:hAnsi="Times New Roman" w:cs="Times New Roman"/>
                <w:sz w:val="20"/>
                <w:szCs w:val="20"/>
              </w:rPr>
              <w:t xml:space="preserve">.97 billion to 211,000 UMKN and in July 2020 BRI distributed a non-KUR interest subsidy stimulus of </w:t>
            </w:r>
            <w:proofErr w:type="spellStart"/>
            <w:r w:rsidRPr="00CF67D6">
              <w:rPr>
                <w:rFonts w:ascii="Times New Roman" w:hAnsi="Times New Roman" w:cs="Times New Roman"/>
                <w:sz w:val="20"/>
                <w:szCs w:val="20"/>
              </w:rPr>
              <w:t>Rp</w:t>
            </w:r>
            <w:proofErr w:type="spellEnd"/>
            <w:r w:rsidRPr="00CF67D6">
              <w:rPr>
                <w:rFonts w:ascii="Times New Roman" w:hAnsi="Times New Roman" w:cs="Times New Roman"/>
                <w:sz w:val="20"/>
                <w:szCs w:val="20"/>
              </w:rPr>
              <w:t xml:space="preserve"> 10.7 billion to 47,000 UMKM</w:t>
            </w:r>
          </w:p>
          <w:p w14:paraId="364DD840" w14:textId="53085B99" w:rsidR="00E57DC9" w:rsidRPr="00CF67D6" w:rsidRDefault="00972F5B" w:rsidP="00A501EA">
            <w:pPr>
              <w:pStyle w:val="ListParagraph"/>
              <w:numPr>
                <w:ilvl w:val="0"/>
                <w:numId w:val="24"/>
              </w:numPr>
              <w:jc w:val="both"/>
              <w:rPr>
                <w:rFonts w:ascii="Times New Roman" w:hAnsi="Times New Roman" w:cs="Times New Roman"/>
                <w:sz w:val="20"/>
                <w:szCs w:val="20"/>
              </w:rPr>
            </w:pPr>
            <w:r w:rsidRPr="00CF67D6">
              <w:rPr>
                <w:rFonts w:ascii="Times New Roman" w:hAnsi="Times New Roman" w:cs="Times New Roman"/>
                <w:sz w:val="20"/>
                <w:szCs w:val="20"/>
              </w:rPr>
              <w:t xml:space="preserve">BRI provided basic assistance in the form of masks, hand sanitizers and Personal Protective Equipment (PPE) and distributed 200 thousand masks, 5,000 hand sanitizers, and 1,000 PPE to the general public, government, medical personnel, TNI, </w:t>
            </w:r>
            <w:proofErr w:type="spellStart"/>
            <w:r w:rsidRPr="00CF67D6">
              <w:rPr>
                <w:rFonts w:ascii="Times New Roman" w:hAnsi="Times New Roman" w:cs="Times New Roman"/>
                <w:sz w:val="20"/>
                <w:szCs w:val="20"/>
              </w:rPr>
              <w:t>Polri</w:t>
            </w:r>
            <w:proofErr w:type="spellEnd"/>
            <w:r w:rsidRPr="00CF67D6">
              <w:rPr>
                <w:rFonts w:ascii="Times New Roman" w:hAnsi="Times New Roman" w:cs="Times New Roman"/>
                <w:sz w:val="20"/>
                <w:szCs w:val="20"/>
              </w:rPr>
              <w:t xml:space="preserve"> and other institutions engaged in the field of handling of Covid-19.</w:t>
            </w:r>
            <w:r w:rsidR="00B36FCD">
              <w:rPr>
                <w:rFonts w:ascii="Times New Roman" w:hAnsi="Times New Roman" w:cs="Times New Roman"/>
                <w:sz w:val="20"/>
                <w:szCs w:val="20"/>
              </w:rPr>
              <w:t xml:space="preserve"> BRI </w:t>
            </w:r>
            <w:r w:rsidR="00B36FCD" w:rsidRPr="00CF67D6">
              <w:rPr>
                <w:rFonts w:ascii="Times New Roman" w:hAnsi="Times New Roman" w:cs="Times New Roman"/>
                <w:sz w:val="20"/>
                <w:szCs w:val="20"/>
              </w:rPr>
              <w:t>Assistance in spraying disinfect</w:t>
            </w:r>
            <w:r w:rsidR="00B36FCD">
              <w:rPr>
                <w:rFonts w:ascii="Times New Roman" w:hAnsi="Times New Roman" w:cs="Times New Roman"/>
                <w:sz w:val="20"/>
                <w:szCs w:val="20"/>
              </w:rPr>
              <w:t xml:space="preserve">ants aimed at public facilities </w:t>
            </w:r>
            <w:r w:rsidR="00B36FCD" w:rsidRPr="00CF67D6">
              <w:rPr>
                <w:rFonts w:ascii="Times New Roman" w:hAnsi="Times New Roman" w:cs="Times New Roman"/>
                <w:sz w:val="20"/>
                <w:szCs w:val="20"/>
              </w:rPr>
              <w:t>and other public facilities in three major cities of Jakarta, Surabaya and Medan.</w:t>
            </w:r>
          </w:p>
          <w:p w14:paraId="5B7981D2" w14:textId="7E2DDE2C" w:rsidR="00E57DC9" w:rsidRPr="00B36FCD" w:rsidRDefault="00972F5B" w:rsidP="00B36FCD">
            <w:pPr>
              <w:pStyle w:val="ListParagraph"/>
              <w:numPr>
                <w:ilvl w:val="0"/>
                <w:numId w:val="24"/>
              </w:numPr>
              <w:jc w:val="both"/>
              <w:rPr>
                <w:rFonts w:ascii="Times New Roman" w:hAnsi="Times New Roman" w:cs="Times New Roman"/>
                <w:sz w:val="20"/>
                <w:szCs w:val="20"/>
              </w:rPr>
            </w:pPr>
            <w:r w:rsidRPr="00CF67D6">
              <w:rPr>
                <w:rFonts w:ascii="Times New Roman" w:hAnsi="Times New Roman" w:cs="Times New Roman"/>
                <w:sz w:val="20"/>
                <w:szCs w:val="20"/>
              </w:rPr>
              <w:t xml:space="preserve">BRI cooperates with the State Bank Association (HIMBARA) and Kimia </w:t>
            </w:r>
            <w:proofErr w:type="spellStart"/>
            <w:r w:rsidRPr="00CF67D6">
              <w:rPr>
                <w:rFonts w:ascii="Times New Roman" w:hAnsi="Times New Roman" w:cs="Times New Roman"/>
                <w:sz w:val="20"/>
                <w:szCs w:val="20"/>
              </w:rPr>
              <w:t>Farma</w:t>
            </w:r>
            <w:proofErr w:type="spellEnd"/>
            <w:r w:rsidRPr="00CF67D6">
              <w:rPr>
                <w:rFonts w:ascii="Times New Roman" w:hAnsi="Times New Roman" w:cs="Times New Roman"/>
                <w:sz w:val="20"/>
                <w:szCs w:val="20"/>
              </w:rPr>
              <w:t xml:space="preserve"> to conduct socialization inviting people to maintain environmental health and hygiene </w:t>
            </w:r>
          </w:p>
        </w:tc>
      </w:tr>
      <w:tr w:rsidR="00CC02D2" w:rsidRPr="00CF67D6" w14:paraId="12E13CBB" w14:textId="77777777" w:rsidTr="00E97A73">
        <w:tc>
          <w:tcPr>
            <w:tcW w:w="1573" w:type="dxa"/>
          </w:tcPr>
          <w:p w14:paraId="586763B4" w14:textId="77777777" w:rsidR="00E57DC9" w:rsidRPr="00CF67D6" w:rsidRDefault="00E57DC9" w:rsidP="00E57DC9">
            <w:pPr>
              <w:contextualSpacing/>
              <w:jc w:val="both"/>
              <w:rPr>
                <w:rFonts w:ascii="Times New Roman" w:hAnsi="Times New Roman" w:cs="Times New Roman"/>
                <w:sz w:val="20"/>
                <w:szCs w:val="20"/>
              </w:rPr>
            </w:pPr>
            <w:r w:rsidRPr="00CF67D6">
              <w:rPr>
                <w:rFonts w:ascii="Times New Roman" w:hAnsi="Times New Roman" w:cs="Times New Roman"/>
                <w:sz w:val="20"/>
                <w:szCs w:val="20"/>
              </w:rPr>
              <w:t xml:space="preserve">Bank </w:t>
            </w:r>
            <w:proofErr w:type="spellStart"/>
            <w:r w:rsidRPr="00CF67D6">
              <w:rPr>
                <w:rFonts w:ascii="Times New Roman" w:hAnsi="Times New Roman" w:cs="Times New Roman"/>
                <w:sz w:val="20"/>
                <w:szCs w:val="20"/>
              </w:rPr>
              <w:t>Mandiri</w:t>
            </w:r>
            <w:proofErr w:type="spellEnd"/>
          </w:p>
        </w:tc>
        <w:tc>
          <w:tcPr>
            <w:tcW w:w="2668" w:type="dxa"/>
          </w:tcPr>
          <w:p w14:paraId="1168E3B5" w14:textId="33758728" w:rsidR="00E57DC9" w:rsidRPr="00CF67D6" w:rsidRDefault="00E57DC9" w:rsidP="00A501EA">
            <w:pPr>
              <w:contextualSpacing/>
              <w:jc w:val="both"/>
              <w:rPr>
                <w:rFonts w:ascii="Times New Roman" w:hAnsi="Times New Roman" w:cs="Times New Roman"/>
                <w:sz w:val="20"/>
                <w:szCs w:val="20"/>
              </w:rPr>
            </w:pPr>
            <w:r w:rsidRPr="00CF67D6">
              <w:rPr>
                <w:rFonts w:ascii="Times New Roman" w:hAnsi="Times New Roman" w:cs="Times New Roman"/>
                <w:sz w:val="20"/>
                <w:szCs w:val="20"/>
              </w:rPr>
              <w:t>CSR</w:t>
            </w:r>
            <w:r w:rsidR="00A501EA" w:rsidRPr="00CF67D6">
              <w:rPr>
                <w:rFonts w:ascii="Times New Roman" w:hAnsi="Times New Roman" w:cs="Times New Roman"/>
                <w:sz w:val="20"/>
                <w:szCs w:val="20"/>
              </w:rPr>
              <w:t xml:space="preserve"> of</w:t>
            </w:r>
            <w:r w:rsidRPr="00CF67D6">
              <w:rPr>
                <w:rFonts w:ascii="Times New Roman" w:hAnsi="Times New Roman" w:cs="Times New Roman"/>
                <w:sz w:val="20"/>
                <w:szCs w:val="20"/>
              </w:rPr>
              <w:t xml:space="preserve"> Bank </w:t>
            </w:r>
            <w:proofErr w:type="spellStart"/>
            <w:r w:rsidRPr="00CF67D6">
              <w:rPr>
                <w:rFonts w:ascii="Times New Roman" w:hAnsi="Times New Roman" w:cs="Times New Roman"/>
                <w:sz w:val="20"/>
                <w:szCs w:val="20"/>
              </w:rPr>
              <w:t>Mandiri</w:t>
            </w:r>
            <w:proofErr w:type="spellEnd"/>
            <w:r w:rsidRPr="00CF67D6">
              <w:rPr>
                <w:rFonts w:ascii="Times New Roman" w:hAnsi="Times New Roman" w:cs="Times New Roman"/>
                <w:sz w:val="20"/>
                <w:szCs w:val="20"/>
              </w:rPr>
              <w:t xml:space="preserve"> – </w:t>
            </w:r>
            <w:proofErr w:type="spellStart"/>
            <w:r w:rsidR="00A501EA" w:rsidRPr="00CF67D6">
              <w:rPr>
                <w:rFonts w:ascii="Times New Roman" w:hAnsi="Times New Roman" w:cs="Times New Roman"/>
                <w:sz w:val="20"/>
                <w:szCs w:val="20"/>
              </w:rPr>
              <w:t>Mandiri</w:t>
            </w:r>
            <w:proofErr w:type="spellEnd"/>
            <w:r w:rsidR="00A501EA" w:rsidRPr="00CF67D6">
              <w:rPr>
                <w:rFonts w:ascii="Times New Roman" w:hAnsi="Times New Roman" w:cs="Times New Roman"/>
                <w:sz w:val="20"/>
                <w:szCs w:val="20"/>
              </w:rPr>
              <w:t xml:space="preserve"> </w:t>
            </w:r>
            <w:proofErr w:type="spellStart"/>
            <w:r w:rsidR="00A501EA" w:rsidRPr="00CF67D6">
              <w:rPr>
                <w:rFonts w:ascii="Times New Roman" w:hAnsi="Times New Roman" w:cs="Times New Roman"/>
                <w:sz w:val="20"/>
                <w:szCs w:val="20"/>
              </w:rPr>
              <w:t>untuk</w:t>
            </w:r>
            <w:proofErr w:type="spellEnd"/>
            <w:r w:rsidR="00A501EA" w:rsidRPr="00CF67D6">
              <w:rPr>
                <w:rFonts w:ascii="Times New Roman" w:hAnsi="Times New Roman" w:cs="Times New Roman"/>
                <w:sz w:val="20"/>
                <w:szCs w:val="20"/>
              </w:rPr>
              <w:t xml:space="preserve"> </w:t>
            </w:r>
            <w:proofErr w:type="spellStart"/>
            <w:r w:rsidR="00A501EA" w:rsidRPr="00CF67D6">
              <w:rPr>
                <w:rFonts w:ascii="Times New Roman" w:hAnsi="Times New Roman" w:cs="Times New Roman"/>
                <w:sz w:val="20"/>
                <w:szCs w:val="20"/>
              </w:rPr>
              <w:t>negeri</w:t>
            </w:r>
            <w:proofErr w:type="spellEnd"/>
          </w:p>
        </w:tc>
        <w:tc>
          <w:tcPr>
            <w:tcW w:w="3947" w:type="dxa"/>
          </w:tcPr>
          <w:p w14:paraId="4C21A2CB" w14:textId="77777777" w:rsidR="00A501EA" w:rsidRPr="00CF67D6" w:rsidRDefault="00A501EA" w:rsidP="00A501EA">
            <w:pPr>
              <w:pStyle w:val="ListParagraph"/>
              <w:numPr>
                <w:ilvl w:val="0"/>
                <w:numId w:val="25"/>
              </w:numPr>
              <w:jc w:val="both"/>
              <w:rPr>
                <w:rFonts w:ascii="Times New Roman" w:hAnsi="Times New Roman" w:cs="Times New Roman"/>
                <w:sz w:val="20"/>
                <w:szCs w:val="20"/>
              </w:rPr>
            </w:pPr>
            <w:r w:rsidRPr="00CF67D6">
              <w:rPr>
                <w:rFonts w:ascii="Times New Roman" w:hAnsi="Times New Roman" w:cs="Times New Roman"/>
                <w:sz w:val="20"/>
                <w:szCs w:val="20"/>
              </w:rPr>
              <w:t xml:space="preserve">Bank </w:t>
            </w:r>
            <w:proofErr w:type="spellStart"/>
            <w:r w:rsidRPr="00CF67D6">
              <w:rPr>
                <w:rFonts w:ascii="Times New Roman" w:hAnsi="Times New Roman" w:cs="Times New Roman"/>
                <w:sz w:val="20"/>
                <w:szCs w:val="20"/>
              </w:rPr>
              <w:t>Mandiri</w:t>
            </w:r>
            <w:proofErr w:type="spellEnd"/>
            <w:r w:rsidRPr="00CF67D6">
              <w:rPr>
                <w:rFonts w:ascii="Times New Roman" w:hAnsi="Times New Roman" w:cs="Times New Roman"/>
                <w:sz w:val="20"/>
                <w:szCs w:val="20"/>
              </w:rPr>
              <w:t xml:space="preserve"> through PPNI Provides financial assistance to Nurses Who Died in the Covid-19 Pandemic</w:t>
            </w:r>
          </w:p>
          <w:p w14:paraId="3AC00F32" w14:textId="1528FC78" w:rsidR="00E57DC9" w:rsidRPr="00CF67D6" w:rsidRDefault="00726CB0" w:rsidP="00A833CD">
            <w:pPr>
              <w:pStyle w:val="ListParagraph"/>
              <w:numPr>
                <w:ilvl w:val="0"/>
                <w:numId w:val="25"/>
              </w:numPr>
              <w:jc w:val="both"/>
              <w:rPr>
                <w:rFonts w:ascii="Times New Roman" w:hAnsi="Times New Roman" w:cs="Times New Roman"/>
                <w:sz w:val="20"/>
                <w:szCs w:val="20"/>
              </w:rPr>
            </w:pPr>
            <w:r w:rsidRPr="00CF67D6">
              <w:rPr>
                <w:rFonts w:ascii="Times New Roman" w:hAnsi="Times New Roman" w:cs="Times New Roman"/>
                <w:sz w:val="20"/>
                <w:szCs w:val="20"/>
              </w:rPr>
              <w:t xml:space="preserve">Bank </w:t>
            </w:r>
            <w:proofErr w:type="spellStart"/>
            <w:r w:rsidRPr="00CF67D6">
              <w:rPr>
                <w:rFonts w:ascii="Times New Roman" w:hAnsi="Times New Roman" w:cs="Times New Roman"/>
                <w:sz w:val="20"/>
                <w:szCs w:val="20"/>
              </w:rPr>
              <w:t>Mandiri</w:t>
            </w:r>
            <w:proofErr w:type="spellEnd"/>
            <w:r w:rsidRPr="00CF67D6">
              <w:rPr>
                <w:rFonts w:ascii="Times New Roman" w:hAnsi="Times New Roman" w:cs="Times New Roman"/>
                <w:sz w:val="20"/>
                <w:szCs w:val="20"/>
              </w:rPr>
              <w:t xml:space="preserve"> generated a micro economy involving small stalls and food agents to prepare assistance in the form of 120 thousand food and food packages with a total value of </w:t>
            </w:r>
            <w:proofErr w:type="spellStart"/>
            <w:r w:rsidRPr="00CF67D6">
              <w:rPr>
                <w:rFonts w:ascii="Times New Roman" w:hAnsi="Times New Roman" w:cs="Times New Roman"/>
                <w:sz w:val="20"/>
                <w:szCs w:val="20"/>
              </w:rPr>
              <w:t>Rp</w:t>
            </w:r>
            <w:proofErr w:type="spellEnd"/>
            <w:r w:rsidRPr="00CF67D6">
              <w:rPr>
                <w:rFonts w:ascii="Times New Roman" w:hAnsi="Times New Roman" w:cs="Times New Roman"/>
                <w:sz w:val="20"/>
                <w:szCs w:val="20"/>
              </w:rPr>
              <w:t xml:space="preserve"> 6 billion. The packages were then distributed to communities whose economies were affected by the Covid-19 pandemic.</w:t>
            </w:r>
          </w:p>
          <w:p w14:paraId="7513C7B4" w14:textId="7D65C593" w:rsidR="00E57DC9" w:rsidRPr="00CF67D6" w:rsidRDefault="00A833CD" w:rsidP="00B36FCD">
            <w:pPr>
              <w:pStyle w:val="ListParagraph"/>
              <w:numPr>
                <w:ilvl w:val="0"/>
                <w:numId w:val="25"/>
              </w:numPr>
              <w:jc w:val="both"/>
              <w:rPr>
                <w:rFonts w:ascii="Times New Roman" w:hAnsi="Times New Roman" w:cs="Times New Roman"/>
                <w:sz w:val="20"/>
                <w:szCs w:val="20"/>
              </w:rPr>
            </w:pPr>
            <w:r w:rsidRPr="00CF67D6">
              <w:rPr>
                <w:rFonts w:ascii="Times New Roman" w:hAnsi="Times New Roman" w:cs="Times New Roman"/>
                <w:sz w:val="20"/>
                <w:szCs w:val="20"/>
              </w:rPr>
              <w:t xml:space="preserve">Bank </w:t>
            </w:r>
            <w:proofErr w:type="spellStart"/>
            <w:r w:rsidRPr="00CF67D6">
              <w:rPr>
                <w:rFonts w:ascii="Times New Roman" w:hAnsi="Times New Roman" w:cs="Times New Roman"/>
                <w:sz w:val="20"/>
                <w:szCs w:val="20"/>
              </w:rPr>
              <w:t>Mandiri</w:t>
            </w:r>
            <w:proofErr w:type="spellEnd"/>
            <w:r w:rsidRPr="00CF67D6">
              <w:rPr>
                <w:rFonts w:ascii="Times New Roman" w:hAnsi="Times New Roman" w:cs="Times New Roman"/>
                <w:sz w:val="20"/>
                <w:szCs w:val="20"/>
              </w:rPr>
              <w:t xml:space="preserve"> accelerated the Restructuring of 404,000 debtors with funds of </w:t>
            </w:r>
            <w:r w:rsidR="00B36FCD">
              <w:rPr>
                <w:rFonts w:ascii="Times New Roman" w:hAnsi="Times New Roman" w:cs="Times New Roman"/>
                <w:sz w:val="20"/>
                <w:szCs w:val="20"/>
              </w:rPr>
              <w:t xml:space="preserve"> </w:t>
            </w:r>
            <w:proofErr w:type="spellStart"/>
            <w:r w:rsidR="00B36FCD">
              <w:rPr>
                <w:rFonts w:ascii="Times New Roman" w:hAnsi="Times New Roman" w:cs="Times New Roman"/>
                <w:sz w:val="20"/>
                <w:szCs w:val="20"/>
              </w:rPr>
              <w:t>Rp</w:t>
            </w:r>
            <w:proofErr w:type="spellEnd"/>
            <w:r w:rsidR="00B36FCD">
              <w:rPr>
                <w:rFonts w:ascii="Times New Roman" w:hAnsi="Times New Roman" w:cs="Times New Roman"/>
                <w:sz w:val="20"/>
                <w:szCs w:val="20"/>
              </w:rPr>
              <w:t xml:space="preserve"> 99 trillion, </w:t>
            </w:r>
            <w:proofErr w:type="spellStart"/>
            <w:r w:rsidRPr="00CF67D6">
              <w:rPr>
                <w:rFonts w:ascii="Times New Roman" w:hAnsi="Times New Roman" w:cs="Times New Roman"/>
                <w:sz w:val="20"/>
                <w:szCs w:val="20"/>
              </w:rPr>
              <w:t>Rp</w:t>
            </w:r>
            <w:proofErr w:type="spellEnd"/>
            <w:r w:rsidRPr="00CF67D6">
              <w:rPr>
                <w:rFonts w:ascii="Times New Roman" w:hAnsi="Times New Roman" w:cs="Times New Roman"/>
                <w:sz w:val="20"/>
                <w:szCs w:val="20"/>
              </w:rPr>
              <w:t xml:space="preserve"> 51.6 trillion were wholesale banking, corporate and commercial banking segments and Rp.47.3 trillion came from the retail, MSME, KPR and KSM segments</w:t>
            </w:r>
          </w:p>
        </w:tc>
      </w:tr>
    </w:tbl>
    <w:p w14:paraId="09920C70" w14:textId="77777777" w:rsidR="00631D77" w:rsidRPr="00CF67D6" w:rsidRDefault="00631D77" w:rsidP="00631D77">
      <w:pPr>
        <w:ind w:firstLine="567"/>
        <w:jc w:val="both"/>
        <w:rPr>
          <w:rFonts w:eastAsia="Times"/>
          <w:color w:val="auto"/>
        </w:rPr>
      </w:pPr>
      <w:r w:rsidRPr="00CF67D6">
        <w:rPr>
          <w:rFonts w:eastAsia="Times"/>
          <w:color w:val="auto"/>
        </w:rPr>
        <w:t xml:space="preserve">Source : </w:t>
      </w:r>
      <w:hyperlink r:id="rId10" w:history="1">
        <w:r w:rsidRPr="00CF67D6">
          <w:rPr>
            <w:rStyle w:val="Hyperlink"/>
            <w:rFonts w:eastAsia="Times"/>
            <w:color w:val="auto"/>
            <w:u w:val="none"/>
          </w:rPr>
          <w:t>www.mandiri.co.id</w:t>
        </w:r>
      </w:hyperlink>
      <w:r w:rsidRPr="00CF67D6">
        <w:rPr>
          <w:rFonts w:eastAsia="Times"/>
          <w:color w:val="auto"/>
        </w:rPr>
        <w:t xml:space="preserve"> and www.bri.co.id</w:t>
      </w:r>
    </w:p>
    <w:p w14:paraId="3F71A21D" w14:textId="113BD9E8" w:rsidR="00E95E06" w:rsidRPr="00CF67D6" w:rsidRDefault="00631D77" w:rsidP="004B5100">
      <w:pPr>
        <w:ind w:firstLine="567"/>
        <w:jc w:val="both"/>
        <w:rPr>
          <w:rFonts w:eastAsia="Times"/>
        </w:rPr>
      </w:pPr>
      <w:r w:rsidRPr="00CF67D6">
        <w:rPr>
          <w:rFonts w:eastAsia="Times"/>
        </w:rPr>
        <w:lastRenderedPageBreak/>
        <w:t xml:space="preserve">Based on the CSR programs that have been carried out by the two banks, the next step is to determine the typology crucially. </w:t>
      </w:r>
      <w:r w:rsidR="00612040">
        <w:rPr>
          <w:rFonts w:eastAsia="Times"/>
        </w:rPr>
        <w:t>There are three</w:t>
      </w:r>
      <w:r w:rsidRPr="00CF67D6">
        <w:rPr>
          <w:rFonts w:eastAsia="Times"/>
        </w:rPr>
        <w:t xml:space="preserve"> things that can be summarized based on the CSR program initiated by the two banks.</w:t>
      </w:r>
      <w:r w:rsidRPr="00CF67D6">
        <w:rPr>
          <w:rFonts w:eastAsia="Times"/>
          <w:b/>
        </w:rPr>
        <w:t xml:space="preserve"> First</w:t>
      </w:r>
      <w:r w:rsidRPr="00CF67D6">
        <w:rPr>
          <w:rFonts w:eastAsia="Times"/>
        </w:rPr>
        <w:t xml:space="preserve"> is the main focus, Bank Mandiri has a main focus on the welfare of society while BRI's main focus is to have a positive impact on people who are broadly similar. By raising the issue of the community indirectly, BRI and Bank Mandiri have provided information that the CSR programs undertaken by both are carried out seriously and contribute to the community, even in the new normal era the two banks carried out various activities that supported the economic strength of the community as business actors including KUR subsidies for UMKM, improve microeconomics, and accelerate restructuring. these things are called Ralph and his collea</w:t>
      </w:r>
      <w:r w:rsidR="00361107" w:rsidRPr="00CF67D6">
        <w:rPr>
          <w:rFonts w:eastAsia="Times"/>
        </w:rPr>
        <w:t>gues as the main factors of CSR</w:t>
      </w:r>
      <w:sdt>
        <w:sdtPr>
          <w:rPr>
            <w:rFonts w:eastAsia="Times"/>
          </w:rPr>
          <w:id w:val="2141607953"/>
          <w:citation/>
        </w:sdtPr>
        <w:sdtEndPr/>
        <w:sdtContent>
          <w:r w:rsidR="00361107" w:rsidRPr="00CF67D6">
            <w:rPr>
              <w:rFonts w:eastAsia="Times"/>
            </w:rPr>
            <w:fldChar w:fldCharType="begin"/>
          </w:r>
          <w:r w:rsidR="00361107" w:rsidRPr="00CF67D6">
            <w:rPr>
              <w:rFonts w:eastAsia="Times"/>
              <w:lang w:val="id-ID"/>
            </w:rPr>
            <w:instrText xml:space="preserve"> CITATION Ral17 \l 1057 </w:instrText>
          </w:r>
          <w:r w:rsidR="00361107" w:rsidRPr="00CF67D6">
            <w:rPr>
              <w:rFonts w:eastAsia="Times"/>
            </w:rPr>
            <w:fldChar w:fldCharType="separate"/>
          </w:r>
          <w:r w:rsidR="00665D87">
            <w:rPr>
              <w:rFonts w:eastAsia="Times"/>
              <w:noProof/>
              <w:lang w:val="id-ID"/>
            </w:rPr>
            <w:t xml:space="preserve"> </w:t>
          </w:r>
          <w:r w:rsidR="00665D87" w:rsidRPr="00665D87">
            <w:rPr>
              <w:rFonts w:eastAsia="Times"/>
              <w:noProof/>
              <w:lang w:val="id-ID"/>
            </w:rPr>
            <w:t>[</w:t>
          </w:r>
          <w:hyperlink w:anchor="Ral17" w:history="1">
            <w:r w:rsidR="00665D87" w:rsidRPr="00665D87">
              <w:rPr>
                <w:rFonts w:eastAsia="Times"/>
                <w:noProof/>
                <w:lang w:val="id-ID"/>
              </w:rPr>
              <w:t>15</w:t>
            </w:r>
          </w:hyperlink>
          <w:r w:rsidR="00665D87" w:rsidRPr="00665D87">
            <w:rPr>
              <w:rFonts w:eastAsia="Times"/>
              <w:noProof/>
              <w:lang w:val="id-ID"/>
            </w:rPr>
            <w:t>]</w:t>
          </w:r>
          <w:r w:rsidR="00361107" w:rsidRPr="00CF67D6">
            <w:rPr>
              <w:rFonts w:eastAsia="Times"/>
            </w:rPr>
            <w:fldChar w:fldCharType="end"/>
          </w:r>
        </w:sdtContent>
      </w:sdt>
      <w:r w:rsidR="00E95E06">
        <w:rPr>
          <w:rFonts w:eastAsia="Times"/>
        </w:rPr>
        <w:t xml:space="preserve">. </w:t>
      </w:r>
      <w:r w:rsidR="00E95E06" w:rsidRPr="00E95E06">
        <w:rPr>
          <w:rFonts w:eastAsia="Times"/>
        </w:rPr>
        <w:t>This main focus is also aligned with the vision and mission of BRI and Bank Mandiri, which carries out the CSR program in order to grow, strengthen and empower the Indonesian people financially so that the community's economy increases</w:t>
      </w:r>
      <w:r w:rsidR="008D5E98">
        <w:rPr>
          <w:rFonts w:eastAsia="Times"/>
        </w:rPr>
        <w:t>.</w:t>
      </w:r>
      <w:r w:rsidR="004B5100">
        <w:rPr>
          <w:rFonts w:eastAsia="Times"/>
        </w:rPr>
        <w:t xml:space="preserve"> </w:t>
      </w:r>
    </w:p>
    <w:p w14:paraId="1A809B52" w14:textId="5781F55B" w:rsidR="007B5EBE" w:rsidRDefault="00631D77" w:rsidP="008D5E98">
      <w:pPr>
        <w:ind w:firstLine="567"/>
        <w:jc w:val="both"/>
        <w:rPr>
          <w:rFonts w:eastAsia="Times"/>
        </w:rPr>
      </w:pPr>
      <w:r w:rsidRPr="00CF67D6">
        <w:rPr>
          <w:rFonts w:eastAsia="Times"/>
          <w:b/>
        </w:rPr>
        <w:t>The second</w:t>
      </w:r>
      <w:r w:rsidR="00E26A4E">
        <w:rPr>
          <w:rFonts w:eastAsia="Times"/>
        </w:rPr>
        <w:t xml:space="preserve"> are </w:t>
      </w:r>
      <w:r w:rsidR="00612040" w:rsidRPr="00CF67D6">
        <w:rPr>
          <w:rFonts w:eastAsia="Times"/>
        </w:rPr>
        <w:t>many similarities both in the type of program initiated and the objectives to be achieved. Although most are different in language, the meaning of each activity is the same.</w:t>
      </w:r>
      <w:r w:rsidR="0019492E">
        <w:rPr>
          <w:rFonts w:eastAsia="Times"/>
        </w:rPr>
        <w:t xml:space="preserve"> </w:t>
      </w:r>
      <w:r w:rsidR="00E03442">
        <w:rPr>
          <w:rFonts w:eastAsia="Times"/>
        </w:rPr>
        <w:t xml:space="preserve">Based on table 1 six of the </w:t>
      </w:r>
      <w:r w:rsidR="00E03442" w:rsidRPr="00E03442">
        <w:rPr>
          <w:rFonts w:eastAsia="Times"/>
        </w:rPr>
        <w:t xml:space="preserve">CSR programs of Bank Mandiri and BRI there are 5 programs that are almost similar. Observe the program </w:t>
      </w:r>
      <w:r w:rsidR="00E03442">
        <w:rPr>
          <w:rFonts w:eastAsia="Times"/>
        </w:rPr>
        <w:t xml:space="preserve">Peduli Bencana and Indonesia Peduli </w:t>
      </w:r>
      <w:r w:rsidR="00E03442" w:rsidRPr="00E03442">
        <w:rPr>
          <w:rFonts w:eastAsia="Times"/>
        </w:rPr>
        <w:t xml:space="preserve"> that both CSR program that aims to assist disaster in several region</w:t>
      </w:r>
      <w:r w:rsidR="00E03442">
        <w:rPr>
          <w:rFonts w:eastAsia="Times"/>
        </w:rPr>
        <w:t>s in Indonesia, the program Peduli Pendidikan</w:t>
      </w:r>
      <w:r w:rsidR="00E03442" w:rsidRPr="00E03442">
        <w:rPr>
          <w:rFonts w:eastAsia="Times"/>
        </w:rPr>
        <w:t xml:space="preserve"> and Indonesia </w:t>
      </w:r>
      <w:r w:rsidR="00E03442">
        <w:rPr>
          <w:rFonts w:eastAsia="Times"/>
        </w:rPr>
        <w:t xml:space="preserve">Cerdas </w:t>
      </w:r>
      <w:r w:rsidR="00E03442" w:rsidRPr="00E03442">
        <w:rPr>
          <w:rFonts w:eastAsia="Times"/>
        </w:rPr>
        <w:t xml:space="preserve">aimed to improve the quality of education in Indonesia, </w:t>
      </w:r>
      <w:r w:rsidR="00E26A4E">
        <w:rPr>
          <w:rFonts w:eastAsia="Times"/>
        </w:rPr>
        <w:t xml:space="preserve">Peduli Lingkungan </w:t>
      </w:r>
      <w:r w:rsidR="00E03442" w:rsidRPr="00E03442">
        <w:rPr>
          <w:rFonts w:eastAsia="Times"/>
        </w:rPr>
        <w:t xml:space="preserve">program and Indonesia </w:t>
      </w:r>
      <w:r w:rsidR="00E26A4E">
        <w:rPr>
          <w:rFonts w:eastAsia="Times"/>
        </w:rPr>
        <w:t xml:space="preserve">Peduli </w:t>
      </w:r>
      <w:r w:rsidR="00E03442" w:rsidRPr="00E03442">
        <w:rPr>
          <w:rFonts w:eastAsia="Times"/>
        </w:rPr>
        <w:t xml:space="preserve">that focuses on sustainability environment, </w:t>
      </w:r>
      <w:r w:rsidR="00E26A4E">
        <w:rPr>
          <w:rFonts w:eastAsia="Times"/>
        </w:rPr>
        <w:t xml:space="preserve">Peduli Kesehatan Program </w:t>
      </w:r>
      <w:r w:rsidR="00E03442" w:rsidRPr="00E03442">
        <w:rPr>
          <w:rFonts w:eastAsia="Times"/>
        </w:rPr>
        <w:t xml:space="preserve"> and Indonesia </w:t>
      </w:r>
      <w:r w:rsidR="00E26A4E">
        <w:rPr>
          <w:rFonts w:eastAsia="Times"/>
        </w:rPr>
        <w:t xml:space="preserve">Sehat </w:t>
      </w:r>
      <w:r w:rsidR="00E03442" w:rsidRPr="00E03442">
        <w:rPr>
          <w:rFonts w:eastAsia="Times"/>
        </w:rPr>
        <w:t xml:space="preserve">program which focuses on public health and finally </w:t>
      </w:r>
      <w:r w:rsidR="00E26A4E">
        <w:rPr>
          <w:rFonts w:eastAsia="Times"/>
        </w:rPr>
        <w:t xml:space="preserve">Sarana – Prasarana Program </w:t>
      </w:r>
      <w:r w:rsidR="00E03442" w:rsidRPr="00E03442">
        <w:rPr>
          <w:rFonts w:eastAsia="Times"/>
        </w:rPr>
        <w:t xml:space="preserve">and Indonesia </w:t>
      </w:r>
      <w:r w:rsidR="00E26A4E">
        <w:rPr>
          <w:rFonts w:eastAsia="Times"/>
        </w:rPr>
        <w:t xml:space="preserve">Membangun </w:t>
      </w:r>
      <w:r w:rsidR="00E03442" w:rsidRPr="00E03442">
        <w:rPr>
          <w:rFonts w:eastAsia="Times"/>
        </w:rPr>
        <w:t>program aimed at building public facilities such as roads, bridges, places of worship, schools and other facilities.</w:t>
      </w:r>
    </w:p>
    <w:p w14:paraId="5E052A99" w14:textId="443C1EB6" w:rsidR="004B5100" w:rsidRDefault="00443EF4" w:rsidP="003842FA">
      <w:pPr>
        <w:ind w:firstLine="567"/>
        <w:jc w:val="both"/>
        <w:rPr>
          <w:rFonts w:eastAsia="Times"/>
        </w:rPr>
      </w:pPr>
      <w:r w:rsidRPr="00443EF4">
        <w:rPr>
          <w:rFonts w:eastAsia="Times"/>
          <w:b/>
        </w:rPr>
        <w:t xml:space="preserve">The third </w:t>
      </w:r>
      <w:r w:rsidRPr="00443EF4">
        <w:rPr>
          <w:rFonts w:eastAsia="Times"/>
        </w:rPr>
        <w:t>is Bank Mandiri and BRI's responsive attitudes and a</w:t>
      </w:r>
      <w:r>
        <w:rPr>
          <w:rFonts w:eastAsia="Times"/>
        </w:rPr>
        <w:t xml:space="preserve">ctions in the face of new norms </w:t>
      </w:r>
      <w:r w:rsidRPr="00443EF4">
        <w:rPr>
          <w:rFonts w:eastAsia="Times"/>
        </w:rPr>
        <w:t>in various CSR programs</w:t>
      </w:r>
      <w:r>
        <w:rPr>
          <w:rFonts w:eastAsia="Times"/>
          <w:b/>
        </w:rPr>
        <w:t xml:space="preserve">. </w:t>
      </w:r>
      <w:r w:rsidR="003842FA" w:rsidRPr="003842FA">
        <w:rPr>
          <w:rFonts w:eastAsia="Times"/>
        </w:rPr>
        <w:t>Forms of corporate social responsibility to the community can include various aspects as giving charity to the community, giving in the form of goods from the company's products and services that need it, or using facilities or managerial expertise that he</w:t>
      </w:r>
      <w:r w:rsidR="003842FA">
        <w:rPr>
          <w:rFonts w:eastAsia="Times"/>
        </w:rPr>
        <w:t>lps those in need, and more</w:t>
      </w:r>
      <w:sdt>
        <w:sdtPr>
          <w:rPr>
            <w:rFonts w:eastAsia="Times"/>
          </w:rPr>
          <w:id w:val="1787626582"/>
          <w:citation/>
        </w:sdtPr>
        <w:sdtContent>
          <w:r w:rsidR="003842FA">
            <w:rPr>
              <w:rFonts w:eastAsia="Times"/>
            </w:rPr>
            <w:fldChar w:fldCharType="begin"/>
          </w:r>
          <w:r w:rsidR="003842FA">
            <w:rPr>
              <w:rFonts w:eastAsia="Times"/>
              <w:lang w:val="en-US"/>
            </w:rPr>
            <w:instrText xml:space="preserve"> CITATION Sha20 \l 1033 </w:instrText>
          </w:r>
          <w:r w:rsidR="003842FA">
            <w:rPr>
              <w:rFonts w:eastAsia="Times"/>
            </w:rPr>
            <w:fldChar w:fldCharType="separate"/>
          </w:r>
          <w:r w:rsidR="003842FA">
            <w:rPr>
              <w:rFonts w:eastAsia="Times"/>
              <w:noProof/>
              <w:lang w:val="en-US"/>
            </w:rPr>
            <w:t xml:space="preserve"> </w:t>
          </w:r>
          <w:r w:rsidR="003842FA" w:rsidRPr="003842FA">
            <w:rPr>
              <w:rFonts w:eastAsia="Times"/>
              <w:noProof/>
              <w:lang w:val="en-US"/>
            </w:rPr>
            <w:t>[</w:t>
          </w:r>
          <w:hyperlink w:anchor="Sha20" w:history="1">
            <w:r w:rsidR="003842FA" w:rsidRPr="003842FA">
              <w:rPr>
                <w:rStyle w:val="Subtitle"/>
                <w:rFonts w:eastAsia="Times"/>
                <w:noProof/>
                <w:lang w:val="en-US"/>
              </w:rPr>
              <w:t>16</w:t>
            </w:r>
          </w:hyperlink>
          <w:r w:rsidR="003842FA" w:rsidRPr="003842FA">
            <w:rPr>
              <w:rFonts w:eastAsia="Times"/>
              <w:noProof/>
              <w:lang w:val="en-US"/>
            </w:rPr>
            <w:t>]</w:t>
          </w:r>
          <w:r w:rsidR="003842FA">
            <w:rPr>
              <w:rFonts w:eastAsia="Times"/>
            </w:rPr>
            <w:fldChar w:fldCharType="end"/>
          </w:r>
        </w:sdtContent>
      </w:sdt>
      <w:r w:rsidR="003842FA">
        <w:rPr>
          <w:rFonts w:eastAsia="Times"/>
        </w:rPr>
        <w:t>.</w:t>
      </w:r>
      <w:r w:rsidR="003842FA" w:rsidRPr="003842FA">
        <w:rPr>
          <w:rFonts w:eastAsia="Times"/>
        </w:rPr>
        <w:t xml:space="preserve"> Bank Mandiri and BRI have carried out these activities significantly, especially those related to the coronavirus pandemic</w:t>
      </w:r>
      <w:r w:rsidR="003842FA">
        <w:rPr>
          <w:rFonts w:eastAsia="Times"/>
        </w:rPr>
        <w:t xml:space="preserve">. </w:t>
      </w:r>
      <w:r w:rsidR="00E26A4E">
        <w:rPr>
          <w:rFonts w:eastAsia="Times"/>
        </w:rPr>
        <w:t>As we know h</w:t>
      </w:r>
      <w:r w:rsidR="00631D77" w:rsidRPr="00CF67D6">
        <w:rPr>
          <w:rFonts w:eastAsia="Times"/>
        </w:rPr>
        <w:t>eal</w:t>
      </w:r>
      <w:r w:rsidR="008E7CBD">
        <w:rPr>
          <w:rFonts w:eastAsia="Times"/>
        </w:rPr>
        <w:t xml:space="preserve">th </w:t>
      </w:r>
      <w:r w:rsidR="00631D77" w:rsidRPr="00CF67D6">
        <w:rPr>
          <w:rFonts w:eastAsia="Times"/>
        </w:rPr>
        <w:t>is a very important and cruc</w:t>
      </w:r>
      <w:r w:rsidR="008E7CBD">
        <w:rPr>
          <w:rFonts w:eastAsia="Times"/>
        </w:rPr>
        <w:t xml:space="preserve">ial issue in the new normal era </w:t>
      </w:r>
      <w:r w:rsidR="003842FA">
        <w:rPr>
          <w:rFonts w:eastAsia="Times"/>
        </w:rPr>
        <w:t xml:space="preserve"> and </w:t>
      </w:r>
      <w:r w:rsidR="00631D77" w:rsidRPr="00CF67D6">
        <w:rPr>
          <w:rFonts w:eastAsia="Times"/>
        </w:rPr>
        <w:t>this has been applied by both banks in a sustainable program.</w:t>
      </w:r>
      <w:r w:rsidR="008E7CBD">
        <w:rPr>
          <w:rFonts w:eastAsia="Times"/>
        </w:rPr>
        <w:t xml:space="preserve"> </w:t>
      </w:r>
      <w:r w:rsidR="00631D77" w:rsidRPr="00CF67D6">
        <w:rPr>
          <w:rFonts w:eastAsia="Times"/>
        </w:rPr>
        <w:t xml:space="preserve"> Before the pandemic hit Indonesia, the two banks had </w:t>
      </w:r>
      <w:r w:rsidR="00E26A4E">
        <w:rPr>
          <w:rFonts w:eastAsia="Times"/>
        </w:rPr>
        <w:t>CSR Program such as Indonesia Sehat dan Peduli Kesehatan</w:t>
      </w:r>
      <w:r w:rsidR="00631D77" w:rsidRPr="00CF67D6">
        <w:rPr>
          <w:rFonts w:eastAsia="Times"/>
        </w:rPr>
        <w:t>, both of which aimed to encourage the creation of</w:t>
      </w:r>
      <w:r w:rsidR="00E26A4E">
        <w:rPr>
          <w:rFonts w:eastAsia="Times"/>
        </w:rPr>
        <w:t xml:space="preserve"> </w:t>
      </w:r>
      <w:r w:rsidR="00631D77" w:rsidRPr="00CF67D6">
        <w:rPr>
          <w:rFonts w:eastAsia="Times"/>
        </w:rPr>
        <w:t xml:space="preserve"> health in th</w:t>
      </w:r>
      <w:r w:rsidR="00BA2F58">
        <w:rPr>
          <w:rFonts w:eastAsia="Times"/>
        </w:rPr>
        <w:t xml:space="preserve">e </w:t>
      </w:r>
      <w:r w:rsidR="00631D77" w:rsidRPr="00CF67D6">
        <w:rPr>
          <w:rFonts w:eastAsia="Times"/>
        </w:rPr>
        <w:t>community. In the new normal era CSR still carries the same program but with different packaging. Public health assistance is manifested in different forms such as compensation for nurses who died during the pandemic, basic assistance in the form of masks, hand sanitizers and personal protective equipment (PPE), disinfectant spraying, provision of portable washbasins and other supporting activities.</w:t>
      </w:r>
      <w:r w:rsidR="004B5100" w:rsidRPr="004B5100">
        <w:t xml:space="preserve"> </w:t>
      </w:r>
      <w:r w:rsidR="004B5100">
        <w:rPr>
          <w:rFonts w:eastAsia="Times"/>
        </w:rPr>
        <w:t>I</w:t>
      </w:r>
      <w:r w:rsidR="004B5100" w:rsidRPr="004B5100">
        <w:rPr>
          <w:rFonts w:eastAsia="Times"/>
        </w:rPr>
        <w:t xml:space="preserve">n this section the bank as a financial institution can respond to the wishes of the community well through CSR programs run by the company which is referred to </w:t>
      </w:r>
      <w:r w:rsidR="004B5100">
        <w:rPr>
          <w:rFonts w:eastAsia="Times"/>
        </w:rPr>
        <w:t>as Corporate Social Performance and Corporate citizenship.</w:t>
      </w:r>
    </w:p>
    <w:p w14:paraId="2FAE762E" w14:textId="420C4AC9" w:rsidR="008D5E98" w:rsidRDefault="004B5100" w:rsidP="00535069">
      <w:pPr>
        <w:ind w:firstLine="567"/>
        <w:jc w:val="both"/>
        <w:rPr>
          <w:rFonts w:eastAsia="Times"/>
        </w:rPr>
      </w:pPr>
      <w:r>
        <w:rPr>
          <w:rFonts w:eastAsia="Times"/>
        </w:rPr>
        <w:t xml:space="preserve"> </w:t>
      </w:r>
      <w:r w:rsidR="00E26A4E" w:rsidRPr="00E26A4E">
        <w:rPr>
          <w:rFonts w:eastAsia="Times"/>
        </w:rPr>
        <w:t>Based on the three issues above can be formulated in the final stage that</w:t>
      </w:r>
      <w:r w:rsidR="008D5E98">
        <w:rPr>
          <w:rFonts w:eastAsia="Times"/>
        </w:rPr>
        <w:t xml:space="preserve"> </w:t>
      </w:r>
      <w:r w:rsidR="00631D77" w:rsidRPr="00CF67D6">
        <w:rPr>
          <w:rFonts w:eastAsia="Times"/>
        </w:rPr>
        <w:t xml:space="preserve">Bank Mandiri and Bank Rakyat Indonesia (BRI) have similarities and differences in the implementation of CSR, although not significantly. This can be seen in the two CSR programs used by the two banks to communicate their CSR programs with stakeholders, including CSR reports, social media, advertisements, and direct dialogue. The CSR report itself is posted on the official website of each bank which is available and can be accessed anytime by all groups. The role of CSR is a reflection of the existence of a company in developing philanthropic projects to </w:t>
      </w:r>
      <w:r w:rsidR="00631D77" w:rsidRPr="00CF67D6">
        <w:rPr>
          <w:rFonts w:eastAsia="Times"/>
        </w:rPr>
        <w:lastRenderedPageBreak/>
        <w:t>the community. Involving the community in all CSR programs creates communication patterns between the community and the company. There is almost no CSR program that does not come into contact with the community because if the community does not know or know the CSR program. Ralph Tench and his colleagues named it missing information</w:t>
      </w:r>
      <w:r w:rsidR="00535069">
        <w:rPr>
          <w:rFonts w:eastAsia="Times"/>
        </w:rPr>
        <w:t>.</w:t>
      </w:r>
    </w:p>
    <w:p w14:paraId="5C83BE4D" w14:textId="77777777" w:rsidR="00C40B9B" w:rsidRPr="00CF67D6" w:rsidRDefault="00C40B9B" w:rsidP="00535069">
      <w:pPr>
        <w:ind w:firstLine="567"/>
        <w:jc w:val="both"/>
        <w:rPr>
          <w:rFonts w:eastAsia="Times"/>
        </w:rPr>
      </w:pPr>
    </w:p>
    <w:p w14:paraId="71FD612D" w14:textId="3FE96175" w:rsidR="003A7E7B" w:rsidRPr="00CF67D6" w:rsidRDefault="00631D77" w:rsidP="003A7E7B">
      <w:pPr>
        <w:pStyle w:val="ListParagraph"/>
        <w:numPr>
          <w:ilvl w:val="0"/>
          <w:numId w:val="2"/>
        </w:numPr>
        <w:ind w:left="284" w:hanging="284"/>
        <w:jc w:val="both"/>
        <w:rPr>
          <w:rFonts w:eastAsia="Times"/>
          <w:b/>
          <w:sz w:val="24"/>
          <w:szCs w:val="24"/>
        </w:rPr>
      </w:pPr>
      <w:r w:rsidRPr="00CF67D6">
        <w:rPr>
          <w:rFonts w:eastAsia="Times"/>
          <w:b/>
          <w:sz w:val="24"/>
          <w:szCs w:val="24"/>
        </w:rPr>
        <w:t>Conclusions</w:t>
      </w:r>
    </w:p>
    <w:p w14:paraId="5AAD2699" w14:textId="77777777" w:rsidR="00C40B9B" w:rsidRDefault="00C40B9B" w:rsidP="00C40B9B">
      <w:pPr>
        <w:pStyle w:val="ListParagraph"/>
        <w:ind w:left="0" w:firstLine="720"/>
        <w:jc w:val="both"/>
        <w:rPr>
          <w:rFonts w:eastAsia="Times"/>
        </w:rPr>
      </w:pPr>
    </w:p>
    <w:p w14:paraId="7DEE777F" w14:textId="3AFCFBE6" w:rsidR="003A7E7B" w:rsidRPr="00CF67D6" w:rsidRDefault="00631D77" w:rsidP="00C40B9B">
      <w:pPr>
        <w:pStyle w:val="ListParagraph"/>
        <w:ind w:left="0" w:firstLine="720"/>
        <w:jc w:val="both"/>
        <w:rPr>
          <w:rFonts w:eastAsia="Times"/>
          <w:b/>
          <w:sz w:val="24"/>
          <w:szCs w:val="24"/>
        </w:rPr>
      </w:pPr>
      <w:r w:rsidRPr="00CF67D6">
        <w:rPr>
          <w:rFonts w:eastAsia="Times"/>
        </w:rPr>
        <w:t>Bank Mandiri and Bank Rakyat Indonesia (BRI) have presented a form of social responsibility and social obligation to the community in the new normal era, this is manifested in a variety of programs that are carried out. The program is not only useful for creating a positive image for the company but also as an effort to create strong and effective communication between the company and stakeholders in the present and the future</w:t>
      </w:r>
      <w:r w:rsidRPr="00CF67D6">
        <w:rPr>
          <w:rFonts w:eastAsia="Times"/>
          <w:sz w:val="22"/>
          <w:szCs w:val="22"/>
        </w:rPr>
        <w:t>.</w:t>
      </w:r>
      <w:r w:rsidR="002B346E">
        <w:rPr>
          <w:rFonts w:eastAsia="Times"/>
          <w:sz w:val="22"/>
          <w:szCs w:val="22"/>
        </w:rPr>
        <w:tab/>
      </w:r>
    </w:p>
    <w:sdt>
      <w:sdtPr>
        <w:rPr>
          <w:b w:val="0"/>
          <w:sz w:val="20"/>
          <w:szCs w:val="20"/>
        </w:rPr>
        <w:id w:val="2016572306"/>
        <w:docPartObj>
          <w:docPartGallery w:val="Bibliographies"/>
          <w:docPartUnique/>
        </w:docPartObj>
      </w:sdtPr>
      <w:sdtEndPr/>
      <w:sdtContent>
        <w:p w14:paraId="4A36138E" w14:textId="136245B9" w:rsidR="00B47ABC" w:rsidRPr="00CF67D6" w:rsidRDefault="00B47ABC" w:rsidP="002B346E">
          <w:pPr>
            <w:pStyle w:val="Heading1"/>
            <w:jc w:val="both"/>
            <w:rPr>
              <w:sz w:val="24"/>
              <w:szCs w:val="24"/>
            </w:rPr>
          </w:pPr>
          <w:r w:rsidRPr="00CF67D6">
            <w:rPr>
              <w:sz w:val="24"/>
              <w:szCs w:val="24"/>
            </w:rPr>
            <w:t>References</w:t>
          </w:r>
        </w:p>
        <w:sdt>
          <w:sdtPr>
            <w:id w:val="-573587230"/>
            <w:bibliography/>
          </w:sdtPr>
          <w:sdtEndPr/>
          <w:sdtContent>
            <w:p w14:paraId="64F90E7E" w14:textId="77777777" w:rsidR="00665D87" w:rsidRDefault="00B47ABC" w:rsidP="00665D87">
              <w:pPr>
                <w:pStyle w:val="Bibliography"/>
                <w:rPr>
                  <w:noProof/>
                  <w:vanish/>
                </w:rPr>
              </w:pPr>
              <w:r w:rsidRPr="00CF67D6">
                <w:fldChar w:fldCharType="begin"/>
              </w:r>
              <w:r w:rsidRPr="00CF67D6">
                <w:instrText xml:space="preserve"> BIBLIOGRAPHY </w:instrText>
              </w:r>
              <w:r w:rsidRPr="00CF67D6">
                <w:fldChar w:fldCharType="separate"/>
              </w:r>
              <w:r w:rsidR="00665D87">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278"/>
              </w:tblGrid>
              <w:tr w:rsidR="00665D87" w14:paraId="26332166" w14:textId="77777777" w:rsidTr="00665D87">
                <w:trPr>
                  <w:tblCellSpacing w:w="15" w:type="dxa"/>
                </w:trPr>
                <w:tc>
                  <w:tcPr>
                    <w:tcW w:w="0" w:type="auto"/>
                    <w:hideMark/>
                  </w:tcPr>
                  <w:p w14:paraId="41ADD79B" w14:textId="77777777" w:rsidR="00665D87" w:rsidRDefault="00665D87">
                    <w:pPr>
                      <w:pStyle w:val="Bibliography"/>
                      <w:jc w:val="right"/>
                      <w:rPr>
                        <w:rFonts w:eastAsiaTheme="minorEastAsia"/>
                        <w:noProof/>
                      </w:rPr>
                    </w:pPr>
                    <w:bookmarkStart w:id="1" w:name="Cla00"/>
                    <w:r>
                      <w:rPr>
                        <w:noProof/>
                      </w:rPr>
                      <w:t>[1]</w:t>
                    </w:r>
                    <w:bookmarkEnd w:id="1"/>
                  </w:p>
                </w:tc>
                <w:tc>
                  <w:tcPr>
                    <w:tcW w:w="0" w:type="auto"/>
                    <w:hideMark/>
                  </w:tcPr>
                  <w:p w14:paraId="45353B5C" w14:textId="77777777" w:rsidR="00665D87" w:rsidRDefault="00665D87">
                    <w:pPr>
                      <w:pStyle w:val="Bibliography"/>
                      <w:rPr>
                        <w:rFonts w:eastAsiaTheme="minorEastAsia"/>
                        <w:noProof/>
                      </w:rPr>
                    </w:pPr>
                    <w:r>
                      <w:rPr>
                        <w:noProof/>
                      </w:rPr>
                      <w:t xml:space="preserve">Cythia E. Clark, "Differences Between Public Relations and Corporate Social Responsibility : An Analysis," </w:t>
                    </w:r>
                    <w:r>
                      <w:rPr>
                        <w:i/>
                        <w:iCs/>
                        <w:noProof/>
                      </w:rPr>
                      <w:t>Public Relations Review</w:t>
                    </w:r>
                    <w:r>
                      <w:rPr>
                        <w:noProof/>
                      </w:rPr>
                      <w:t>, pp. 363,366, 2000.</w:t>
                    </w:r>
                  </w:p>
                </w:tc>
              </w:tr>
              <w:tr w:rsidR="00665D87" w14:paraId="46E137DE" w14:textId="77777777" w:rsidTr="00665D87">
                <w:trPr>
                  <w:tblCellSpacing w:w="15" w:type="dxa"/>
                </w:trPr>
                <w:tc>
                  <w:tcPr>
                    <w:tcW w:w="0" w:type="auto"/>
                    <w:hideMark/>
                  </w:tcPr>
                  <w:p w14:paraId="12950BE4" w14:textId="77777777" w:rsidR="00665D87" w:rsidRDefault="00665D87">
                    <w:pPr>
                      <w:pStyle w:val="Bibliography"/>
                      <w:jc w:val="right"/>
                      <w:rPr>
                        <w:rFonts w:eastAsiaTheme="minorEastAsia"/>
                        <w:noProof/>
                      </w:rPr>
                    </w:pPr>
                    <w:r>
                      <w:rPr>
                        <w:noProof/>
                      </w:rPr>
                      <w:t>[2]</w:t>
                    </w:r>
                  </w:p>
                </w:tc>
                <w:tc>
                  <w:tcPr>
                    <w:tcW w:w="0" w:type="auto"/>
                    <w:hideMark/>
                  </w:tcPr>
                  <w:p w14:paraId="7AF5E864" w14:textId="77777777" w:rsidR="00665D87" w:rsidRDefault="00665D87">
                    <w:pPr>
                      <w:pStyle w:val="Bibliography"/>
                      <w:rPr>
                        <w:rFonts w:eastAsiaTheme="minorEastAsia"/>
                        <w:noProof/>
                      </w:rPr>
                    </w:pPr>
                    <w:r>
                      <w:rPr>
                        <w:noProof/>
                      </w:rPr>
                      <w:t xml:space="preserve">Karen A.Foss Stephen W. Littlejohn and John G Oetzel, </w:t>
                    </w:r>
                    <w:r>
                      <w:rPr>
                        <w:i/>
                        <w:iCs/>
                        <w:noProof/>
                      </w:rPr>
                      <w:t>Theories of Human Communication</w:t>
                    </w:r>
                    <w:r>
                      <w:rPr>
                        <w:noProof/>
                      </w:rPr>
                      <w:t>, eleventh Edition ed. United States of America: Waveland Press, Inc., 2017.</w:t>
                    </w:r>
                  </w:p>
                </w:tc>
              </w:tr>
              <w:tr w:rsidR="00665D87" w14:paraId="4161B3C5" w14:textId="77777777" w:rsidTr="00665D87">
                <w:trPr>
                  <w:tblCellSpacing w:w="15" w:type="dxa"/>
                </w:trPr>
                <w:tc>
                  <w:tcPr>
                    <w:tcW w:w="0" w:type="auto"/>
                    <w:hideMark/>
                  </w:tcPr>
                  <w:p w14:paraId="49291D15" w14:textId="77777777" w:rsidR="00665D87" w:rsidRDefault="00665D87">
                    <w:pPr>
                      <w:pStyle w:val="Bibliography"/>
                      <w:jc w:val="right"/>
                      <w:rPr>
                        <w:rFonts w:eastAsiaTheme="minorEastAsia"/>
                        <w:noProof/>
                      </w:rPr>
                    </w:pPr>
                    <w:r>
                      <w:rPr>
                        <w:noProof/>
                      </w:rPr>
                      <w:t>[3]</w:t>
                    </w:r>
                  </w:p>
                </w:tc>
                <w:tc>
                  <w:tcPr>
                    <w:tcW w:w="0" w:type="auto"/>
                    <w:hideMark/>
                  </w:tcPr>
                  <w:p w14:paraId="494D9BE0" w14:textId="77777777" w:rsidR="00665D87" w:rsidRDefault="00665D87">
                    <w:pPr>
                      <w:pStyle w:val="Bibliography"/>
                      <w:rPr>
                        <w:rFonts w:eastAsiaTheme="minorEastAsia"/>
                        <w:noProof/>
                      </w:rPr>
                    </w:pPr>
                    <w:r>
                      <w:rPr>
                        <w:noProof/>
                      </w:rPr>
                      <w:t xml:space="preserve">Paul Hohnen, </w:t>
                    </w:r>
                    <w:r>
                      <w:rPr>
                        <w:i/>
                        <w:iCs/>
                        <w:noProof/>
                      </w:rPr>
                      <w:t>Corporate Social Responsibilty: An Implementation Guide for Business</w:t>
                    </w:r>
                    <w:r>
                      <w:rPr>
                        <w:noProof/>
                      </w:rPr>
                      <w:t>. Canada: Internasional Institute for Sustainable Development, 2007.</w:t>
                    </w:r>
                  </w:p>
                </w:tc>
              </w:tr>
              <w:tr w:rsidR="00665D87" w14:paraId="6A42E53C" w14:textId="77777777" w:rsidTr="00665D87">
                <w:trPr>
                  <w:tblCellSpacing w:w="15" w:type="dxa"/>
                </w:trPr>
                <w:tc>
                  <w:tcPr>
                    <w:tcW w:w="0" w:type="auto"/>
                    <w:hideMark/>
                  </w:tcPr>
                  <w:p w14:paraId="5C3A6CC6" w14:textId="77777777" w:rsidR="00665D87" w:rsidRDefault="00665D87">
                    <w:pPr>
                      <w:pStyle w:val="Bibliography"/>
                      <w:jc w:val="right"/>
                      <w:rPr>
                        <w:rFonts w:eastAsiaTheme="minorEastAsia"/>
                        <w:noProof/>
                      </w:rPr>
                    </w:pPr>
                    <w:bookmarkStart w:id="2" w:name="Cam16"/>
                    <w:r>
                      <w:rPr>
                        <w:noProof/>
                      </w:rPr>
                      <w:t>[4]</w:t>
                    </w:r>
                    <w:bookmarkEnd w:id="2"/>
                  </w:p>
                </w:tc>
                <w:tc>
                  <w:tcPr>
                    <w:tcW w:w="0" w:type="auto"/>
                    <w:hideMark/>
                  </w:tcPr>
                  <w:p w14:paraId="486BCA76" w14:textId="77777777" w:rsidR="00665D87" w:rsidRDefault="00665D87">
                    <w:pPr>
                      <w:pStyle w:val="Bibliography"/>
                      <w:rPr>
                        <w:rFonts w:eastAsiaTheme="minorEastAsia"/>
                        <w:noProof/>
                      </w:rPr>
                    </w:pPr>
                    <w:r>
                      <w:rPr>
                        <w:noProof/>
                      </w:rPr>
                      <w:t xml:space="preserve">Mark Anthony (Ed) Camilleri, "The Corporate Sustainability and Responsibility Proposition: A Review and Appraisal.," in </w:t>
                    </w:r>
                    <w:r>
                      <w:rPr>
                        <w:i/>
                        <w:iCs/>
                        <w:noProof/>
                      </w:rPr>
                      <w:t>CSR 2.0 and the New Era of Corporate Citizenship</w:t>
                    </w:r>
                    <w:r>
                      <w:rPr>
                        <w:noProof/>
                      </w:rPr>
                      <w:t>.: IGI Global., 2016.</w:t>
                    </w:r>
                  </w:p>
                </w:tc>
              </w:tr>
              <w:tr w:rsidR="00665D87" w14:paraId="2F455A56" w14:textId="77777777" w:rsidTr="00665D87">
                <w:trPr>
                  <w:tblCellSpacing w:w="15" w:type="dxa"/>
                </w:trPr>
                <w:tc>
                  <w:tcPr>
                    <w:tcW w:w="0" w:type="auto"/>
                    <w:hideMark/>
                  </w:tcPr>
                  <w:p w14:paraId="23611CDE" w14:textId="77777777" w:rsidR="00665D87" w:rsidRDefault="00665D87">
                    <w:pPr>
                      <w:pStyle w:val="Bibliography"/>
                      <w:jc w:val="right"/>
                      <w:rPr>
                        <w:rFonts w:eastAsiaTheme="minorEastAsia"/>
                        <w:noProof/>
                      </w:rPr>
                    </w:pPr>
                    <w:bookmarkStart w:id="3" w:name="Kes20"/>
                    <w:r>
                      <w:rPr>
                        <w:noProof/>
                      </w:rPr>
                      <w:t>[5]</w:t>
                    </w:r>
                    <w:bookmarkEnd w:id="3"/>
                  </w:p>
                </w:tc>
                <w:tc>
                  <w:tcPr>
                    <w:tcW w:w="0" w:type="auto"/>
                    <w:hideMark/>
                  </w:tcPr>
                  <w:p w14:paraId="5F9D43F8" w14:textId="77777777" w:rsidR="00665D87" w:rsidRDefault="00665D87">
                    <w:pPr>
                      <w:pStyle w:val="Bibliography"/>
                      <w:rPr>
                        <w:rFonts w:eastAsiaTheme="minorEastAsia"/>
                        <w:noProof/>
                      </w:rPr>
                    </w:pPr>
                    <w:r>
                      <w:rPr>
                        <w:noProof/>
                      </w:rPr>
                      <w:t xml:space="preserve">Kementerian Kesehatan. (2020, May) www.kemkes.go.id. [Online]. </w:t>
                    </w:r>
                    <w:hyperlink r:id="rId11" w:history="1">
                      <w:r>
                        <w:rPr>
                          <w:rStyle w:val="Hyperlink"/>
                          <w:noProof/>
                        </w:rPr>
                        <w:t>https://www.kemkes.go.id/article/view/20052900001/vaksin-covid-19-belum-ditemukan-pemerintah-siapkan-skenario-new-normal.html</w:t>
                      </w:r>
                    </w:hyperlink>
                  </w:p>
                </w:tc>
              </w:tr>
              <w:tr w:rsidR="00665D87" w14:paraId="7E2D38A4" w14:textId="77777777" w:rsidTr="00665D87">
                <w:trPr>
                  <w:tblCellSpacing w:w="15" w:type="dxa"/>
                </w:trPr>
                <w:tc>
                  <w:tcPr>
                    <w:tcW w:w="0" w:type="auto"/>
                    <w:hideMark/>
                  </w:tcPr>
                  <w:p w14:paraId="12A75589" w14:textId="77777777" w:rsidR="00665D87" w:rsidRDefault="00665D87">
                    <w:pPr>
                      <w:pStyle w:val="Bibliography"/>
                      <w:jc w:val="right"/>
                      <w:rPr>
                        <w:rFonts w:eastAsiaTheme="minorEastAsia"/>
                        <w:noProof/>
                      </w:rPr>
                    </w:pPr>
                    <w:r>
                      <w:rPr>
                        <w:noProof/>
                      </w:rPr>
                      <w:t>[6]</w:t>
                    </w:r>
                  </w:p>
                </w:tc>
                <w:tc>
                  <w:tcPr>
                    <w:tcW w:w="0" w:type="auto"/>
                    <w:hideMark/>
                  </w:tcPr>
                  <w:p w14:paraId="38891667" w14:textId="77777777" w:rsidR="00665D87" w:rsidRDefault="00665D87">
                    <w:pPr>
                      <w:pStyle w:val="Bibliography"/>
                      <w:rPr>
                        <w:rFonts w:eastAsiaTheme="minorEastAsia"/>
                        <w:noProof/>
                      </w:rPr>
                    </w:pPr>
                    <w:r>
                      <w:rPr>
                        <w:noProof/>
                      </w:rPr>
                      <w:t xml:space="preserve">Dandy Bayu Bramasta. (2020, May) www. kompas.com. [Online]. </w:t>
                    </w:r>
                    <w:hyperlink r:id="rId12" w:history="1">
                      <w:r>
                        <w:rPr>
                          <w:rStyle w:val="Hyperlink"/>
                          <w:noProof/>
                        </w:rPr>
                        <w:t>https://www.kompas.com/tren/read/2020/05/16/164600865/sering-disebut-sebut-apa-itu-new-normal-?page=all.</w:t>
                      </w:r>
                    </w:hyperlink>
                  </w:p>
                </w:tc>
              </w:tr>
              <w:tr w:rsidR="00665D87" w14:paraId="7D02F838" w14:textId="77777777" w:rsidTr="00665D87">
                <w:trPr>
                  <w:tblCellSpacing w:w="15" w:type="dxa"/>
                </w:trPr>
                <w:tc>
                  <w:tcPr>
                    <w:tcW w:w="0" w:type="auto"/>
                    <w:hideMark/>
                  </w:tcPr>
                  <w:p w14:paraId="27E2F9DE" w14:textId="77777777" w:rsidR="00665D87" w:rsidRDefault="00665D87">
                    <w:pPr>
                      <w:pStyle w:val="Bibliography"/>
                      <w:jc w:val="right"/>
                      <w:rPr>
                        <w:rFonts w:eastAsiaTheme="minorEastAsia"/>
                        <w:noProof/>
                      </w:rPr>
                    </w:pPr>
                    <w:r>
                      <w:rPr>
                        <w:noProof/>
                      </w:rPr>
                      <w:t>[7]</w:t>
                    </w:r>
                  </w:p>
                </w:tc>
                <w:tc>
                  <w:tcPr>
                    <w:tcW w:w="0" w:type="auto"/>
                    <w:hideMark/>
                  </w:tcPr>
                  <w:p w14:paraId="49989117" w14:textId="77777777" w:rsidR="00665D87" w:rsidRDefault="00665D87">
                    <w:pPr>
                      <w:pStyle w:val="Bibliography"/>
                      <w:rPr>
                        <w:rFonts w:eastAsiaTheme="minorEastAsia"/>
                        <w:noProof/>
                      </w:rPr>
                    </w:pPr>
                    <w:r>
                      <w:rPr>
                        <w:noProof/>
                      </w:rPr>
                      <w:t xml:space="preserve">Asiamoney. (2019, September) euromoney.com. [Online]. </w:t>
                    </w:r>
                    <w:hyperlink r:id="rId13" w:history="1">
                      <w:r>
                        <w:rPr>
                          <w:rStyle w:val="Hyperlink"/>
                          <w:noProof/>
                        </w:rPr>
                        <w:t>www.euromoney.com</w:t>
                      </w:r>
                    </w:hyperlink>
                  </w:p>
                </w:tc>
              </w:tr>
              <w:tr w:rsidR="00665D87" w14:paraId="2B43F6E3" w14:textId="77777777" w:rsidTr="00665D87">
                <w:trPr>
                  <w:tblCellSpacing w:w="15" w:type="dxa"/>
                </w:trPr>
                <w:tc>
                  <w:tcPr>
                    <w:tcW w:w="0" w:type="auto"/>
                    <w:hideMark/>
                  </w:tcPr>
                  <w:p w14:paraId="75F96684" w14:textId="77777777" w:rsidR="00665D87" w:rsidRDefault="00665D87">
                    <w:pPr>
                      <w:pStyle w:val="Bibliography"/>
                      <w:jc w:val="right"/>
                      <w:rPr>
                        <w:rFonts w:eastAsiaTheme="minorEastAsia"/>
                        <w:noProof/>
                      </w:rPr>
                    </w:pPr>
                    <w:bookmarkStart w:id="4" w:name="wik20"/>
                    <w:r>
                      <w:rPr>
                        <w:noProof/>
                      </w:rPr>
                      <w:t>[8]</w:t>
                    </w:r>
                    <w:bookmarkEnd w:id="4"/>
                  </w:p>
                </w:tc>
                <w:tc>
                  <w:tcPr>
                    <w:tcW w:w="0" w:type="auto"/>
                    <w:hideMark/>
                  </w:tcPr>
                  <w:p w14:paraId="7BDEBEA0" w14:textId="77777777" w:rsidR="00665D87" w:rsidRDefault="00665D87">
                    <w:pPr>
                      <w:pStyle w:val="Bibliography"/>
                      <w:rPr>
                        <w:rFonts w:eastAsiaTheme="minorEastAsia"/>
                        <w:noProof/>
                      </w:rPr>
                    </w:pPr>
                    <w:r>
                      <w:rPr>
                        <w:noProof/>
                      </w:rPr>
                      <w:t xml:space="preserve">wikipedia. (2020, April) https://en.wikipedia.org/. [Online]. </w:t>
                    </w:r>
                    <w:hyperlink r:id="rId14" w:history="1">
                      <w:r>
                        <w:rPr>
                          <w:rStyle w:val="Hyperlink"/>
                          <w:noProof/>
                        </w:rPr>
                        <w:t>https://en.wikipedia.org/wiki/Asiamoney</w:t>
                      </w:r>
                    </w:hyperlink>
                  </w:p>
                </w:tc>
              </w:tr>
              <w:tr w:rsidR="00665D87" w14:paraId="52B5CD95" w14:textId="77777777" w:rsidTr="00665D87">
                <w:trPr>
                  <w:tblCellSpacing w:w="15" w:type="dxa"/>
                </w:trPr>
                <w:tc>
                  <w:tcPr>
                    <w:tcW w:w="0" w:type="auto"/>
                    <w:hideMark/>
                  </w:tcPr>
                  <w:p w14:paraId="6963388E" w14:textId="77777777" w:rsidR="00665D87" w:rsidRDefault="00665D87">
                    <w:pPr>
                      <w:pStyle w:val="Bibliography"/>
                      <w:jc w:val="right"/>
                      <w:rPr>
                        <w:rFonts w:eastAsiaTheme="minorEastAsia"/>
                        <w:noProof/>
                      </w:rPr>
                    </w:pPr>
                    <w:r>
                      <w:rPr>
                        <w:noProof/>
                      </w:rPr>
                      <w:t>[9]</w:t>
                    </w:r>
                  </w:p>
                </w:tc>
                <w:tc>
                  <w:tcPr>
                    <w:tcW w:w="0" w:type="auto"/>
                    <w:hideMark/>
                  </w:tcPr>
                  <w:p w14:paraId="1E7D947A" w14:textId="77777777" w:rsidR="00665D87" w:rsidRDefault="00665D87">
                    <w:pPr>
                      <w:pStyle w:val="Bibliography"/>
                      <w:rPr>
                        <w:rFonts w:eastAsiaTheme="minorEastAsia"/>
                        <w:noProof/>
                      </w:rPr>
                    </w:pPr>
                    <w:r>
                      <w:rPr>
                        <w:noProof/>
                      </w:rPr>
                      <w:t xml:space="preserve">Bank Mandiri. (2019, December) mandiri.co.id. [Online]. </w:t>
                    </w:r>
                    <w:hyperlink r:id="rId15" w:history="1">
                      <w:r>
                        <w:rPr>
                          <w:rStyle w:val="Hyperlink"/>
                          <w:noProof/>
                        </w:rPr>
                        <w:t>www.mandiri.co.id</w:t>
                      </w:r>
                    </w:hyperlink>
                  </w:p>
                </w:tc>
              </w:tr>
              <w:tr w:rsidR="00665D87" w14:paraId="758EFFE4" w14:textId="77777777" w:rsidTr="00665D87">
                <w:trPr>
                  <w:tblCellSpacing w:w="15" w:type="dxa"/>
                </w:trPr>
                <w:tc>
                  <w:tcPr>
                    <w:tcW w:w="0" w:type="auto"/>
                    <w:hideMark/>
                  </w:tcPr>
                  <w:p w14:paraId="239CAEFD" w14:textId="77777777" w:rsidR="00665D87" w:rsidRDefault="00665D87">
                    <w:pPr>
                      <w:pStyle w:val="Bibliography"/>
                      <w:jc w:val="right"/>
                      <w:rPr>
                        <w:rFonts w:eastAsiaTheme="minorEastAsia"/>
                        <w:noProof/>
                      </w:rPr>
                    </w:pPr>
                    <w:bookmarkStart w:id="5" w:name="oke19"/>
                    <w:r>
                      <w:rPr>
                        <w:noProof/>
                      </w:rPr>
                      <w:t>[10]</w:t>
                    </w:r>
                    <w:bookmarkEnd w:id="5"/>
                  </w:p>
                </w:tc>
                <w:tc>
                  <w:tcPr>
                    <w:tcW w:w="0" w:type="auto"/>
                    <w:hideMark/>
                  </w:tcPr>
                  <w:p w14:paraId="4CF1DBED" w14:textId="77777777" w:rsidR="00665D87" w:rsidRDefault="00665D87">
                    <w:pPr>
                      <w:pStyle w:val="Bibliography"/>
                      <w:rPr>
                        <w:rFonts w:eastAsiaTheme="minorEastAsia"/>
                        <w:noProof/>
                      </w:rPr>
                    </w:pPr>
                    <w:r>
                      <w:rPr>
                        <w:noProof/>
                      </w:rPr>
                      <w:t xml:space="preserve">okezone.com. (2019, October) www.okezone.com. [Online]. </w:t>
                    </w:r>
                    <w:hyperlink r:id="rId16" w:history="1">
                      <w:r>
                        <w:rPr>
                          <w:rStyle w:val="Hyperlink"/>
                          <w:noProof/>
                        </w:rPr>
                        <w:t>https://economy.okezone.com/read/2019/10/04/320/2113122/lagi-bri-dinobatkan-asiamoney-sebagai-best-bank-for-csr</w:t>
                      </w:r>
                    </w:hyperlink>
                  </w:p>
                </w:tc>
              </w:tr>
              <w:tr w:rsidR="00665D87" w14:paraId="17517F76" w14:textId="77777777" w:rsidTr="00665D87">
                <w:trPr>
                  <w:tblCellSpacing w:w="15" w:type="dxa"/>
                </w:trPr>
                <w:tc>
                  <w:tcPr>
                    <w:tcW w:w="0" w:type="auto"/>
                    <w:hideMark/>
                  </w:tcPr>
                  <w:p w14:paraId="09FBC425" w14:textId="77777777" w:rsidR="00665D87" w:rsidRDefault="00665D87">
                    <w:pPr>
                      <w:pStyle w:val="Bibliography"/>
                      <w:jc w:val="right"/>
                      <w:rPr>
                        <w:rFonts w:eastAsiaTheme="minorEastAsia"/>
                        <w:noProof/>
                      </w:rPr>
                    </w:pPr>
                    <w:r>
                      <w:rPr>
                        <w:noProof/>
                      </w:rPr>
                      <w:t>[11]</w:t>
                    </w:r>
                  </w:p>
                </w:tc>
                <w:tc>
                  <w:tcPr>
                    <w:tcW w:w="0" w:type="auto"/>
                    <w:hideMark/>
                  </w:tcPr>
                  <w:p w14:paraId="1AA06BBA" w14:textId="77777777" w:rsidR="00665D87" w:rsidRDefault="00665D87">
                    <w:pPr>
                      <w:pStyle w:val="Bibliography"/>
                      <w:rPr>
                        <w:rFonts w:eastAsiaTheme="minorEastAsia"/>
                        <w:noProof/>
                      </w:rPr>
                    </w:pPr>
                    <w:r>
                      <w:rPr>
                        <w:noProof/>
                      </w:rPr>
                      <w:t>Bank Rakyat Indonesia, "Laporan Keberlanjutan 2019," PT. Bank Rakyat Indonesia Persero (Tbk), Jakarta, Anual Report BRI-SR-2019, 2019.</w:t>
                    </w:r>
                  </w:p>
                </w:tc>
              </w:tr>
              <w:tr w:rsidR="00665D87" w14:paraId="4A1DEA21" w14:textId="77777777" w:rsidTr="00665D87">
                <w:trPr>
                  <w:tblCellSpacing w:w="15" w:type="dxa"/>
                </w:trPr>
                <w:tc>
                  <w:tcPr>
                    <w:tcW w:w="0" w:type="auto"/>
                    <w:hideMark/>
                  </w:tcPr>
                  <w:p w14:paraId="2C9390E2" w14:textId="77777777" w:rsidR="00665D87" w:rsidRDefault="00665D87">
                    <w:pPr>
                      <w:pStyle w:val="Bibliography"/>
                      <w:jc w:val="right"/>
                      <w:rPr>
                        <w:rFonts w:eastAsiaTheme="minorEastAsia"/>
                        <w:noProof/>
                      </w:rPr>
                    </w:pPr>
                    <w:r>
                      <w:rPr>
                        <w:noProof/>
                      </w:rPr>
                      <w:t>[12]</w:t>
                    </w:r>
                  </w:p>
                </w:tc>
                <w:tc>
                  <w:tcPr>
                    <w:tcW w:w="0" w:type="auto"/>
                    <w:hideMark/>
                  </w:tcPr>
                  <w:p w14:paraId="3429FEBA" w14:textId="77777777" w:rsidR="00665D87" w:rsidRDefault="00665D87">
                    <w:pPr>
                      <w:pStyle w:val="Bibliography"/>
                      <w:rPr>
                        <w:rFonts w:eastAsiaTheme="minorEastAsia"/>
                        <w:noProof/>
                      </w:rPr>
                    </w:pPr>
                    <w:r>
                      <w:rPr>
                        <w:noProof/>
                      </w:rPr>
                      <w:t xml:space="preserve">George Cheney Steve Kent May and Juliet Roper, </w:t>
                    </w:r>
                    <w:r>
                      <w:rPr>
                        <w:i/>
                        <w:iCs/>
                        <w:noProof/>
                      </w:rPr>
                      <w:t>The Debate Over Corporate Social Responsibility</w:t>
                    </w:r>
                    <w:r>
                      <w:rPr>
                        <w:noProof/>
                      </w:rPr>
                      <w:t>. England: Oxford University Press, 2007.</w:t>
                    </w:r>
                  </w:p>
                </w:tc>
              </w:tr>
              <w:tr w:rsidR="00665D87" w14:paraId="7F2F4723" w14:textId="77777777" w:rsidTr="00665D87">
                <w:trPr>
                  <w:tblCellSpacing w:w="15" w:type="dxa"/>
                </w:trPr>
                <w:tc>
                  <w:tcPr>
                    <w:tcW w:w="0" w:type="auto"/>
                    <w:hideMark/>
                  </w:tcPr>
                  <w:p w14:paraId="78ABD58B" w14:textId="77777777" w:rsidR="00665D87" w:rsidRDefault="00665D87">
                    <w:pPr>
                      <w:pStyle w:val="Bibliography"/>
                      <w:jc w:val="right"/>
                      <w:rPr>
                        <w:rFonts w:eastAsiaTheme="minorEastAsia"/>
                        <w:noProof/>
                      </w:rPr>
                    </w:pPr>
                    <w:r>
                      <w:rPr>
                        <w:noProof/>
                      </w:rPr>
                      <w:t>[13]</w:t>
                    </w:r>
                  </w:p>
                </w:tc>
                <w:tc>
                  <w:tcPr>
                    <w:tcW w:w="0" w:type="auto"/>
                    <w:hideMark/>
                  </w:tcPr>
                  <w:p w14:paraId="732C225D" w14:textId="77777777" w:rsidR="00665D87" w:rsidRDefault="00665D87">
                    <w:pPr>
                      <w:pStyle w:val="Bibliography"/>
                      <w:rPr>
                        <w:rFonts w:eastAsiaTheme="minorEastAsia"/>
                        <w:noProof/>
                      </w:rPr>
                    </w:pPr>
                    <w:r>
                      <w:rPr>
                        <w:noProof/>
                      </w:rPr>
                      <w:t xml:space="preserve">Rens Vliegenthart Frank Esser, </w:t>
                    </w:r>
                    <w:r>
                      <w:rPr>
                        <w:i/>
                        <w:iCs/>
                        <w:noProof/>
                      </w:rPr>
                      <w:t>The Comparative Research Methods. The International Encylopedia of Communication Research Methods</w:t>
                    </w:r>
                    <w:r>
                      <w:rPr>
                        <w:noProof/>
                      </w:rPr>
                      <w:t>.: John Wiley &amp; Sons, Inc., 2017.</w:t>
                    </w:r>
                  </w:p>
                </w:tc>
              </w:tr>
              <w:tr w:rsidR="00665D87" w14:paraId="0C63B79A" w14:textId="77777777" w:rsidTr="00665D87">
                <w:trPr>
                  <w:tblCellSpacing w:w="15" w:type="dxa"/>
                </w:trPr>
                <w:tc>
                  <w:tcPr>
                    <w:tcW w:w="0" w:type="auto"/>
                    <w:hideMark/>
                  </w:tcPr>
                  <w:p w14:paraId="53C90592" w14:textId="77777777" w:rsidR="00665D87" w:rsidRDefault="00665D87">
                    <w:pPr>
                      <w:pStyle w:val="Bibliography"/>
                      <w:jc w:val="right"/>
                      <w:rPr>
                        <w:rFonts w:eastAsiaTheme="minorEastAsia"/>
                        <w:noProof/>
                      </w:rPr>
                    </w:pPr>
                    <w:r>
                      <w:rPr>
                        <w:noProof/>
                      </w:rPr>
                      <w:lastRenderedPageBreak/>
                      <w:t>[14]</w:t>
                    </w:r>
                  </w:p>
                </w:tc>
                <w:tc>
                  <w:tcPr>
                    <w:tcW w:w="0" w:type="auto"/>
                    <w:hideMark/>
                  </w:tcPr>
                  <w:p w14:paraId="61E7959E" w14:textId="77777777" w:rsidR="00665D87" w:rsidRDefault="00665D87">
                    <w:pPr>
                      <w:pStyle w:val="Bibliography"/>
                      <w:rPr>
                        <w:rFonts w:eastAsiaTheme="minorEastAsia"/>
                        <w:noProof/>
                      </w:rPr>
                    </w:pPr>
                    <w:r>
                      <w:rPr>
                        <w:noProof/>
                      </w:rPr>
                      <w:t xml:space="preserve">T Hanitzsch Frank Esser, </w:t>
                    </w:r>
                    <w:r>
                      <w:rPr>
                        <w:i/>
                        <w:iCs/>
                        <w:noProof/>
                      </w:rPr>
                      <w:t>On The Why and How Comparative Inquiry In Communication Studies, HandBook of Comparative Communication Research</w:t>
                    </w:r>
                    <w:r>
                      <w:rPr>
                        <w:noProof/>
                      </w:rPr>
                      <w:t>. London: Routledge, 2012.</w:t>
                    </w:r>
                  </w:p>
                </w:tc>
              </w:tr>
              <w:tr w:rsidR="00665D87" w14:paraId="19F2665C" w14:textId="77777777" w:rsidTr="00665D87">
                <w:trPr>
                  <w:tblCellSpacing w:w="15" w:type="dxa"/>
                </w:trPr>
                <w:tc>
                  <w:tcPr>
                    <w:tcW w:w="0" w:type="auto"/>
                    <w:hideMark/>
                  </w:tcPr>
                  <w:p w14:paraId="68874351" w14:textId="77777777" w:rsidR="00665D87" w:rsidRDefault="00665D87">
                    <w:pPr>
                      <w:pStyle w:val="Bibliography"/>
                      <w:jc w:val="right"/>
                      <w:rPr>
                        <w:rFonts w:eastAsiaTheme="minorEastAsia"/>
                        <w:noProof/>
                      </w:rPr>
                    </w:pPr>
                    <w:r>
                      <w:rPr>
                        <w:noProof/>
                      </w:rPr>
                      <w:t>[15]</w:t>
                    </w:r>
                  </w:p>
                </w:tc>
                <w:tc>
                  <w:tcPr>
                    <w:tcW w:w="0" w:type="auto"/>
                    <w:hideMark/>
                  </w:tcPr>
                  <w:p w14:paraId="282E795B" w14:textId="77777777" w:rsidR="00665D87" w:rsidRDefault="00665D87">
                    <w:pPr>
                      <w:pStyle w:val="Bibliography"/>
                      <w:rPr>
                        <w:rFonts w:eastAsiaTheme="minorEastAsia"/>
                        <w:noProof/>
                      </w:rPr>
                    </w:pPr>
                    <w:r>
                      <w:rPr>
                        <w:noProof/>
                      </w:rPr>
                      <w:t xml:space="preserve">Liz Yeomans Ralph Tench, </w:t>
                    </w:r>
                    <w:r>
                      <w:rPr>
                        <w:i/>
                        <w:iCs/>
                        <w:noProof/>
                      </w:rPr>
                      <w:t>Exploring Public Relation</w:t>
                    </w:r>
                    <w:r>
                      <w:rPr>
                        <w:noProof/>
                      </w:rPr>
                      <w:t>. United Kngdom: Pearson Education Limited, 2017.</w:t>
                    </w:r>
                  </w:p>
                </w:tc>
              </w:tr>
              <w:tr w:rsidR="00665D87" w14:paraId="6D8EE5DE" w14:textId="77777777" w:rsidTr="00665D87">
                <w:trPr>
                  <w:tblCellSpacing w:w="15" w:type="dxa"/>
                </w:trPr>
                <w:tc>
                  <w:tcPr>
                    <w:tcW w:w="0" w:type="auto"/>
                    <w:hideMark/>
                  </w:tcPr>
                  <w:p w14:paraId="034DAA26" w14:textId="77777777" w:rsidR="00665D87" w:rsidRDefault="00665D87">
                    <w:pPr>
                      <w:pStyle w:val="Bibliography"/>
                      <w:jc w:val="right"/>
                      <w:rPr>
                        <w:rFonts w:eastAsiaTheme="minorEastAsia"/>
                        <w:noProof/>
                      </w:rPr>
                    </w:pPr>
                    <w:bookmarkStart w:id="6" w:name="Sha20"/>
                    <w:r>
                      <w:rPr>
                        <w:noProof/>
                      </w:rPr>
                      <w:t>[16]</w:t>
                    </w:r>
                    <w:bookmarkEnd w:id="6"/>
                  </w:p>
                </w:tc>
                <w:tc>
                  <w:tcPr>
                    <w:tcW w:w="0" w:type="auto"/>
                    <w:hideMark/>
                  </w:tcPr>
                  <w:p w14:paraId="5585154C" w14:textId="77777777" w:rsidR="00665D87" w:rsidRDefault="00665D87">
                    <w:pPr>
                      <w:pStyle w:val="Bibliography"/>
                      <w:rPr>
                        <w:rFonts w:eastAsiaTheme="minorEastAsia"/>
                        <w:noProof/>
                      </w:rPr>
                    </w:pPr>
                    <w:r>
                      <w:rPr>
                        <w:noProof/>
                      </w:rPr>
                      <w:t xml:space="preserve">Shaike Marom (Corresponding Author) and Robert N Lussier, "Corporate Social Responsibility during the coronavirus pandemic : An Interim Overview," </w:t>
                    </w:r>
                    <w:r>
                      <w:rPr>
                        <w:i/>
                        <w:iCs/>
                        <w:noProof/>
                      </w:rPr>
                      <w:t>Macrothink Institute</w:t>
                    </w:r>
                    <w:r>
                      <w:rPr>
                        <w:noProof/>
                      </w:rPr>
                      <w:t>, vol. 10 No.2, no. Bussines and Economic Research, p. 255, 2020.</w:t>
                    </w:r>
                  </w:p>
                </w:tc>
              </w:tr>
            </w:tbl>
            <w:p w14:paraId="1E155DA7" w14:textId="77777777" w:rsidR="00665D87" w:rsidRDefault="00665D87" w:rsidP="00665D87">
              <w:pPr>
                <w:pStyle w:val="Bibliography"/>
                <w:rPr>
                  <w:rFonts w:eastAsiaTheme="minorEastAsia"/>
                  <w:noProof/>
                  <w:vanish/>
                </w:rPr>
              </w:pPr>
              <w:r>
                <w:rPr>
                  <w:noProof/>
                  <w:vanish/>
                </w:rPr>
                <w:t>x</w:t>
              </w:r>
            </w:p>
            <w:p w14:paraId="17990189" w14:textId="2B73C53B" w:rsidR="00B47ABC" w:rsidRPr="00CF67D6" w:rsidRDefault="00B47ABC" w:rsidP="00665D87">
              <w:pPr>
                <w:jc w:val="both"/>
              </w:pPr>
              <w:r w:rsidRPr="00CF67D6">
                <w:rPr>
                  <w:b/>
                  <w:bCs/>
                  <w:noProof/>
                </w:rPr>
                <w:fldChar w:fldCharType="end"/>
              </w:r>
            </w:p>
          </w:sdtContent>
        </w:sdt>
      </w:sdtContent>
    </w:sdt>
    <w:p w14:paraId="173C54E4" w14:textId="77777777" w:rsidR="00361107" w:rsidRPr="00CF67D6" w:rsidRDefault="00361107">
      <w:pPr>
        <w:tabs>
          <w:tab w:val="left" w:pos="1361"/>
          <w:tab w:val="left" w:pos="1531"/>
          <w:tab w:val="left" w:pos="1701"/>
          <w:tab w:val="left" w:pos="1871"/>
          <w:tab w:val="left" w:pos="2041"/>
          <w:tab w:val="left" w:pos="2211"/>
          <w:tab w:val="left" w:pos="2381"/>
          <w:tab w:val="left" w:pos="2552"/>
        </w:tabs>
        <w:spacing w:before="120" w:after="120"/>
      </w:pPr>
    </w:p>
    <w:sectPr w:rsidR="00361107" w:rsidRPr="00CF67D6" w:rsidSect="00B17912">
      <w:footerReference w:type="default" r:id="rId17"/>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53AC6" w14:textId="77777777" w:rsidR="0090082A" w:rsidRDefault="0090082A">
      <w:r>
        <w:separator/>
      </w:r>
    </w:p>
  </w:endnote>
  <w:endnote w:type="continuationSeparator" w:id="0">
    <w:p w14:paraId="1B5ACA8E" w14:textId="77777777" w:rsidR="0090082A" w:rsidRDefault="0090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721AC" w14:textId="77777777" w:rsidR="008D30F0" w:rsidRDefault="008D30F0">
    <w:pPr>
      <w:jc w:val="both"/>
    </w:pPr>
  </w:p>
  <w:p w14:paraId="45F3A2DE" w14:textId="77777777" w:rsidR="008D30F0" w:rsidRDefault="008D30F0">
    <w:pPr>
      <w:jc w:val="both"/>
    </w:pPr>
  </w:p>
  <w:p w14:paraId="2EBC0141" w14:textId="77777777" w:rsidR="008D30F0" w:rsidRDefault="008D30F0">
    <w:pPr>
      <w:jc w:val="both"/>
    </w:pPr>
  </w:p>
  <w:p w14:paraId="7D88F5F3" w14:textId="77777777" w:rsidR="008D30F0" w:rsidRDefault="008D30F0">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0F031" w14:textId="77777777" w:rsidR="0090082A" w:rsidRDefault="0090082A">
      <w:r>
        <w:separator/>
      </w:r>
    </w:p>
  </w:footnote>
  <w:footnote w:type="continuationSeparator" w:id="0">
    <w:p w14:paraId="6B7B7F12" w14:textId="77777777" w:rsidR="0090082A" w:rsidRDefault="009008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738"/>
    <w:multiLevelType w:val="hybridMultilevel"/>
    <w:tmpl w:val="70642944"/>
    <w:lvl w:ilvl="0" w:tplc="953CC6EC">
      <w:numFmt w:val="bullet"/>
      <w:lvlText w:val=""/>
      <w:lvlJc w:val="left"/>
      <w:pPr>
        <w:ind w:left="1187" w:hanging="360"/>
      </w:pPr>
      <w:rPr>
        <w:rFonts w:ascii="Symbol" w:eastAsia="Symbol" w:hAnsi="Symbol" w:cs="Symbol" w:hint="default"/>
        <w:w w:val="100"/>
        <w:sz w:val="22"/>
        <w:szCs w:val="22"/>
        <w:lang w:val="en-US" w:eastAsia="en-US" w:bidi="ar-SA"/>
      </w:rPr>
    </w:lvl>
    <w:lvl w:ilvl="1" w:tplc="01C8C212">
      <w:numFmt w:val="bullet"/>
      <w:lvlText w:val="•"/>
      <w:lvlJc w:val="left"/>
      <w:pPr>
        <w:ind w:left="1372" w:hanging="360"/>
      </w:pPr>
      <w:rPr>
        <w:rFonts w:hint="default"/>
        <w:lang w:val="en-US" w:eastAsia="en-US" w:bidi="ar-SA"/>
      </w:rPr>
    </w:lvl>
    <w:lvl w:ilvl="2" w:tplc="9D622BD8">
      <w:numFmt w:val="bullet"/>
      <w:lvlText w:val="•"/>
      <w:lvlJc w:val="left"/>
      <w:pPr>
        <w:ind w:left="1565" w:hanging="360"/>
      </w:pPr>
      <w:rPr>
        <w:rFonts w:hint="default"/>
        <w:lang w:val="en-US" w:eastAsia="en-US" w:bidi="ar-SA"/>
      </w:rPr>
    </w:lvl>
    <w:lvl w:ilvl="3" w:tplc="488C929E">
      <w:numFmt w:val="bullet"/>
      <w:lvlText w:val="•"/>
      <w:lvlJc w:val="left"/>
      <w:pPr>
        <w:ind w:left="1757" w:hanging="360"/>
      </w:pPr>
      <w:rPr>
        <w:rFonts w:hint="default"/>
        <w:lang w:val="en-US" w:eastAsia="en-US" w:bidi="ar-SA"/>
      </w:rPr>
    </w:lvl>
    <w:lvl w:ilvl="4" w:tplc="320AF108">
      <w:numFmt w:val="bullet"/>
      <w:lvlText w:val="•"/>
      <w:lvlJc w:val="left"/>
      <w:pPr>
        <w:ind w:left="1950" w:hanging="360"/>
      </w:pPr>
      <w:rPr>
        <w:rFonts w:hint="default"/>
        <w:lang w:val="en-US" w:eastAsia="en-US" w:bidi="ar-SA"/>
      </w:rPr>
    </w:lvl>
    <w:lvl w:ilvl="5" w:tplc="77CA0A14">
      <w:numFmt w:val="bullet"/>
      <w:lvlText w:val="•"/>
      <w:lvlJc w:val="left"/>
      <w:pPr>
        <w:ind w:left="2143" w:hanging="360"/>
      </w:pPr>
      <w:rPr>
        <w:rFonts w:hint="default"/>
        <w:lang w:val="en-US" w:eastAsia="en-US" w:bidi="ar-SA"/>
      </w:rPr>
    </w:lvl>
    <w:lvl w:ilvl="6" w:tplc="1A5A47C8">
      <w:numFmt w:val="bullet"/>
      <w:lvlText w:val="•"/>
      <w:lvlJc w:val="left"/>
      <w:pPr>
        <w:ind w:left="2335" w:hanging="360"/>
      </w:pPr>
      <w:rPr>
        <w:rFonts w:hint="default"/>
        <w:lang w:val="en-US" w:eastAsia="en-US" w:bidi="ar-SA"/>
      </w:rPr>
    </w:lvl>
    <w:lvl w:ilvl="7" w:tplc="5AF4AC16">
      <w:numFmt w:val="bullet"/>
      <w:lvlText w:val="•"/>
      <w:lvlJc w:val="left"/>
      <w:pPr>
        <w:ind w:left="2528" w:hanging="360"/>
      </w:pPr>
      <w:rPr>
        <w:rFonts w:hint="default"/>
        <w:lang w:val="en-US" w:eastAsia="en-US" w:bidi="ar-SA"/>
      </w:rPr>
    </w:lvl>
    <w:lvl w:ilvl="8" w:tplc="5C12B51C">
      <w:numFmt w:val="bullet"/>
      <w:lvlText w:val="•"/>
      <w:lvlJc w:val="left"/>
      <w:pPr>
        <w:ind w:left="2720" w:hanging="360"/>
      </w:pPr>
      <w:rPr>
        <w:rFonts w:hint="default"/>
        <w:lang w:val="en-US" w:eastAsia="en-US" w:bidi="ar-SA"/>
      </w:rPr>
    </w:lvl>
  </w:abstractNum>
  <w:abstractNum w:abstractNumId="1">
    <w:nsid w:val="01D156DB"/>
    <w:multiLevelType w:val="hybridMultilevel"/>
    <w:tmpl w:val="57C6D9FA"/>
    <w:lvl w:ilvl="0" w:tplc="CCCE7B3A">
      <w:numFmt w:val="bullet"/>
      <w:lvlText w:val=""/>
      <w:lvlJc w:val="left"/>
      <w:pPr>
        <w:ind w:left="360" w:hanging="360"/>
      </w:pPr>
      <w:rPr>
        <w:rFonts w:ascii="Wingdings" w:eastAsia="Wingdings" w:hAnsi="Wingdings" w:cs="Wingdings" w:hint="default"/>
        <w:w w:val="99"/>
        <w:sz w:val="20"/>
        <w:szCs w:val="20"/>
        <w:lang w:val="en-US" w:eastAsia="en-US" w:bidi="ar-SA"/>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
    <w:nsid w:val="050F4A68"/>
    <w:multiLevelType w:val="hybridMultilevel"/>
    <w:tmpl w:val="5E0A29F6"/>
    <w:lvl w:ilvl="0" w:tplc="9496E0AA">
      <w:numFmt w:val="bullet"/>
      <w:lvlText w:val=""/>
      <w:lvlJc w:val="left"/>
      <w:pPr>
        <w:ind w:left="501" w:hanging="360"/>
      </w:pPr>
      <w:rPr>
        <w:rFonts w:ascii="Wingdings" w:eastAsia="Wingdings" w:hAnsi="Wingdings" w:cs="Wingdings" w:hint="default"/>
        <w:w w:val="99"/>
        <w:sz w:val="20"/>
        <w:szCs w:val="20"/>
        <w:lang w:val="en-US" w:eastAsia="en-US" w:bidi="ar-SA"/>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
    <w:nsid w:val="06B44516"/>
    <w:multiLevelType w:val="hybridMultilevel"/>
    <w:tmpl w:val="477CEE34"/>
    <w:lvl w:ilvl="0" w:tplc="CCCE7B3A">
      <w:numFmt w:val="bullet"/>
      <w:lvlText w:val=""/>
      <w:lvlJc w:val="left"/>
      <w:pPr>
        <w:ind w:left="720" w:hanging="360"/>
      </w:pPr>
      <w:rPr>
        <w:rFonts w:ascii="Wingdings" w:eastAsia="Wingdings" w:hAnsi="Wingdings" w:cs="Wingdings" w:hint="default"/>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B70FB3"/>
    <w:multiLevelType w:val="hybridMultilevel"/>
    <w:tmpl w:val="10CA9056"/>
    <w:lvl w:ilvl="0" w:tplc="9CD4D7AA">
      <w:numFmt w:val="bullet"/>
      <w:lvlText w:val=""/>
      <w:lvlJc w:val="left"/>
      <w:pPr>
        <w:ind w:left="501" w:hanging="360"/>
      </w:pPr>
      <w:rPr>
        <w:rFonts w:ascii="Wingdings" w:eastAsia="Wingdings" w:hAnsi="Wingdings" w:cs="Wingdings" w:hint="default"/>
        <w:w w:val="100"/>
        <w:sz w:val="22"/>
        <w:szCs w:val="22"/>
        <w:lang w:val="en-US" w:eastAsia="en-US" w:bidi="ar-SA"/>
      </w:rPr>
    </w:lvl>
    <w:lvl w:ilvl="1" w:tplc="4E2AF9D0">
      <w:numFmt w:val="bullet"/>
      <w:lvlText w:val="•"/>
      <w:lvlJc w:val="left"/>
      <w:pPr>
        <w:ind w:left="723" w:hanging="360"/>
      </w:pPr>
      <w:rPr>
        <w:rFonts w:hint="default"/>
        <w:lang w:val="en-US" w:eastAsia="en-US" w:bidi="ar-SA"/>
      </w:rPr>
    </w:lvl>
    <w:lvl w:ilvl="2" w:tplc="393AC302">
      <w:numFmt w:val="bullet"/>
      <w:lvlText w:val="•"/>
      <w:lvlJc w:val="left"/>
      <w:pPr>
        <w:ind w:left="952" w:hanging="360"/>
      </w:pPr>
      <w:rPr>
        <w:rFonts w:hint="default"/>
        <w:lang w:val="en-US" w:eastAsia="en-US" w:bidi="ar-SA"/>
      </w:rPr>
    </w:lvl>
    <w:lvl w:ilvl="3" w:tplc="A342C714">
      <w:numFmt w:val="bullet"/>
      <w:lvlText w:val="•"/>
      <w:lvlJc w:val="left"/>
      <w:pPr>
        <w:ind w:left="1181" w:hanging="360"/>
      </w:pPr>
      <w:rPr>
        <w:rFonts w:hint="default"/>
        <w:lang w:val="en-US" w:eastAsia="en-US" w:bidi="ar-SA"/>
      </w:rPr>
    </w:lvl>
    <w:lvl w:ilvl="4" w:tplc="EFDA47B6">
      <w:numFmt w:val="bullet"/>
      <w:lvlText w:val="•"/>
      <w:lvlJc w:val="left"/>
      <w:pPr>
        <w:ind w:left="1410" w:hanging="360"/>
      </w:pPr>
      <w:rPr>
        <w:rFonts w:hint="default"/>
        <w:lang w:val="en-US" w:eastAsia="en-US" w:bidi="ar-SA"/>
      </w:rPr>
    </w:lvl>
    <w:lvl w:ilvl="5" w:tplc="A4B2ACD2">
      <w:numFmt w:val="bullet"/>
      <w:lvlText w:val="•"/>
      <w:lvlJc w:val="left"/>
      <w:pPr>
        <w:ind w:left="1639" w:hanging="360"/>
      </w:pPr>
      <w:rPr>
        <w:rFonts w:hint="default"/>
        <w:lang w:val="en-US" w:eastAsia="en-US" w:bidi="ar-SA"/>
      </w:rPr>
    </w:lvl>
    <w:lvl w:ilvl="6" w:tplc="92F09536">
      <w:numFmt w:val="bullet"/>
      <w:lvlText w:val="•"/>
      <w:lvlJc w:val="left"/>
      <w:pPr>
        <w:ind w:left="1867" w:hanging="360"/>
      </w:pPr>
      <w:rPr>
        <w:rFonts w:hint="default"/>
        <w:lang w:val="en-US" w:eastAsia="en-US" w:bidi="ar-SA"/>
      </w:rPr>
    </w:lvl>
    <w:lvl w:ilvl="7" w:tplc="E04E9474">
      <w:numFmt w:val="bullet"/>
      <w:lvlText w:val="•"/>
      <w:lvlJc w:val="left"/>
      <w:pPr>
        <w:ind w:left="2096" w:hanging="360"/>
      </w:pPr>
      <w:rPr>
        <w:rFonts w:hint="default"/>
        <w:lang w:val="en-US" w:eastAsia="en-US" w:bidi="ar-SA"/>
      </w:rPr>
    </w:lvl>
    <w:lvl w:ilvl="8" w:tplc="8B2E04B2">
      <w:numFmt w:val="bullet"/>
      <w:lvlText w:val="•"/>
      <w:lvlJc w:val="left"/>
      <w:pPr>
        <w:ind w:left="2325" w:hanging="360"/>
      </w:pPr>
      <w:rPr>
        <w:rFonts w:hint="default"/>
        <w:lang w:val="en-US" w:eastAsia="en-US" w:bidi="ar-SA"/>
      </w:rPr>
    </w:lvl>
  </w:abstractNum>
  <w:abstractNum w:abstractNumId="5">
    <w:nsid w:val="08EF703E"/>
    <w:multiLevelType w:val="hybridMultilevel"/>
    <w:tmpl w:val="788647FC"/>
    <w:lvl w:ilvl="0" w:tplc="043CEC1A">
      <w:numFmt w:val="bullet"/>
      <w:lvlText w:val=""/>
      <w:lvlJc w:val="left"/>
      <w:pPr>
        <w:ind w:left="750" w:hanging="360"/>
      </w:pPr>
      <w:rPr>
        <w:rFonts w:ascii="Symbol" w:eastAsia="Symbol" w:hAnsi="Symbol" w:cs="Symbol" w:hint="default"/>
        <w:w w:val="100"/>
        <w:sz w:val="22"/>
        <w:szCs w:val="22"/>
        <w:lang w:val="en-US" w:eastAsia="en-US" w:bidi="ar-SA"/>
      </w:rPr>
    </w:lvl>
    <w:lvl w:ilvl="1" w:tplc="2A381AE4">
      <w:numFmt w:val="bullet"/>
      <w:lvlText w:val="•"/>
      <w:lvlJc w:val="left"/>
      <w:pPr>
        <w:ind w:left="1143" w:hanging="360"/>
      </w:pPr>
      <w:rPr>
        <w:rFonts w:hint="default"/>
        <w:lang w:val="en-US" w:eastAsia="en-US" w:bidi="ar-SA"/>
      </w:rPr>
    </w:lvl>
    <w:lvl w:ilvl="2" w:tplc="F4BEB0D6">
      <w:numFmt w:val="bullet"/>
      <w:lvlText w:val="•"/>
      <w:lvlJc w:val="left"/>
      <w:pPr>
        <w:ind w:left="1527" w:hanging="360"/>
      </w:pPr>
      <w:rPr>
        <w:rFonts w:hint="default"/>
        <w:lang w:val="en-US" w:eastAsia="en-US" w:bidi="ar-SA"/>
      </w:rPr>
    </w:lvl>
    <w:lvl w:ilvl="3" w:tplc="996C4F0C">
      <w:numFmt w:val="bullet"/>
      <w:lvlText w:val="•"/>
      <w:lvlJc w:val="left"/>
      <w:pPr>
        <w:ind w:left="1911" w:hanging="360"/>
      </w:pPr>
      <w:rPr>
        <w:rFonts w:hint="default"/>
        <w:lang w:val="en-US" w:eastAsia="en-US" w:bidi="ar-SA"/>
      </w:rPr>
    </w:lvl>
    <w:lvl w:ilvl="4" w:tplc="DDC806B8">
      <w:numFmt w:val="bullet"/>
      <w:lvlText w:val="•"/>
      <w:lvlJc w:val="left"/>
      <w:pPr>
        <w:ind w:left="2294" w:hanging="360"/>
      </w:pPr>
      <w:rPr>
        <w:rFonts w:hint="default"/>
        <w:lang w:val="en-US" w:eastAsia="en-US" w:bidi="ar-SA"/>
      </w:rPr>
    </w:lvl>
    <w:lvl w:ilvl="5" w:tplc="332A6030">
      <w:numFmt w:val="bullet"/>
      <w:lvlText w:val="•"/>
      <w:lvlJc w:val="left"/>
      <w:pPr>
        <w:ind w:left="2678" w:hanging="360"/>
      </w:pPr>
      <w:rPr>
        <w:rFonts w:hint="default"/>
        <w:lang w:val="en-US" w:eastAsia="en-US" w:bidi="ar-SA"/>
      </w:rPr>
    </w:lvl>
    <w:lvl w:ilvl="6" w:tplc="7A908BB2">
      <w:numFmt w:val="bullet"/>
      <w:lvlText w:val="•"/>
      <w:lvlJc w:val="left"/>
      <w:pPr>
        <w:ind w:left="3062" w:hanging="360"/>
      </w:pPr>
      <w:rPr>
        <w:rFonts w:hint="default"/>
        <w:lang w:val="en-US" w:eastAsia="en-US" w:bidi="ar-SA"/>
      </w:rPr>
    </w:lvl>
    <w:lvl w:ilvl="7" w:tplc="CBF0610E">
      <w:numFmt w:val="bullet"/>
      <w:lvlText w:val="•"/>
      <w:lvlJc w:val="left"/>
      <w:pPr>
        <w:ind w:left="3445" w:hanging="360"/>
      </w:pPr>
      <w:rPr>
        <w:rFonts w:hint="default"/>
        <w:lang w:val="en-US" w:eastAsia="en-US" w:bidi="ar-SA"/>
      </w:rPr>
    </w:lvl>
    <w:lvl w:ilvl="8" w:tplc="E8FED544">
      <w:numFmt w:val="bullet"/>
      <w:lvlText w:val="•"/>
      <w:lvlJc w:val="left"/>
      <w:pPr>
        <w:ind w:left="3829" w:hanging="360"/>
      </w:pPr>
      <w:rPr>
        <w:rFonts w:hint="default"/>
        <w:lang w:val="en-US" w:eastAsia="en-US" w:bidi="ar-SA"/>
      </w:rPr>
    </w:lvl>
  </w:abstractNum>
  <w:abstractNum w:abstractNumId="6">
    <w:nsid w:val="10C50ED5"/>
    <w:multiLevelType w:val="hybridMultilevel"/>
    <w:tmpl w:val="5D028D1A"/>
    <w:lvl w:ilvl="0" w:tplc="8B549D48">
      <w:start w:val="5"/>
      <w:numFmt w:val="decimal"/>
      <w:lvlText w:val="%1."/>
      <w:lvlJc w:val="left"/>
      <w:pPr>
        <w:ind w:left="467" w:hanging="360"/>
        <w:jc w:val="left"/>
      </w:pPr>
      <w:rPr>
        <w:rFonts w:ascii="Times New Roman" w:eastAsia="Times New Roman" w:hAnsi="Times New Roman" w:cs="Times New Roman" w:hint="default"/>
        <w:b/>
        <w:bCs/>
        <w:w w:val="100"/>
        <w:sz w:val="22"/>
        <w:szCs w:val="22"/>
        <w:lang w:val="en-US" w:eastAsia="en-US" w:bidi="ar-SA"/>
      </w:rPr>
    </w:lvl>
    <w:lvl w:ilvl="1" w:tplc="83BC51E6">
      <w:numFmt w:val="bullet"/>
      <w:lvlText w:val=""/>
      <w:lvlJc w:val="left"/>
      <w:pPr>
        <w:ind w:left="699" w:hanging="284"/>
      </w:pPr>
      <w:rPr>
        <w:rFonts w:ascii="Symbol" w:eastAsia="Symbol" w:hAnsi="Symbol" w:cs="Symbol" w:hint="default"/>
        <w:w w:val="100"/>
        <w:sz w:val="22"/>
        <w:szCs w:val="22"/>
        <w:lang w:val="en-US" w:eastAsia="en-US" w:bidi="ar-SA"/>
      </w:rPr>
    </w:lvl>
    <w:lvl w:ilvl="2" w:tplc="3CACFA44">
      <w:numFmt w:val="bullet"/>
      <w:lvlText w:val="•"/>
      <w:lvlJc w:val="left"/>
      <w:pPr>
        <w:ind w:left="900" w:hanging="284"/>
      </w:pPr>
      <w:rPr>
        <w:rFonts w:hint="default"/>
        <w:lang w:val="en-US" w:eastAsia="en-US" w:bidi="ar-SA"/>
      </w:rPr>
    </w:lvl>
    <w:lvl w:ilvl="3" w:tplc="ACC45FF0">
      <w:numFmt w:val="bullet"/>
      <w:lvlText w:val="•"/>
      <w:lvlJc w:val="left"/>
      <w:pPr>
        <w:ind w:left="1175" w:hanging="284"/>
      </w:pPr>
      <w:rPr>
        <w:rFonts w:hint="default"/>
        <w:lang w:val="en-US" w:eastAsia="en-US" w:bidi="ar-SA"/>
      </w:rPr>
    </w:lvl>
    <w:lvl w:ilvl="4" w:tplc="E1D2E692">
      <w:numFmt w:val="bullet"/>
      <w:lvlText w:val="•"/>
      <w:lvlJc w:val="left"/>
      <w:pPr>
        <w:ind w:left="1451" w:hanging="284"/>
      </w:pPr>
      <w:rPr>
        <w:rFonts w:hint="default"/>
        <w:lang w:val="en-US" w:eastAsia="en-US" w:bidi="ar-SA"/>
      </w:rPr>
    </w:lvl>
    <w:lvl w:ilvl="5" w:tplc="EAAEAD8E">
      <w:numFmt w:val="bullet"/>
      <w:lvlText w:val="•"/>
      <w:lvlJc w:val="left"/>
      <w:pPr>
        <w:ind w:left="1727" w:hanging="284"/>
      </w:pPr>
      <w:rPr>
        <w:rFonts w:hint="default"/>
        <w:lang w:val="en-US" w:eastAsia="en-US" w:bidi="ar-SA"/>
      </w:rPr>
    </w:lvl>
    <w:lvl w:ilvl="6" w:tplc="9580C3A8">
      <w:numFmt w:val="bullet"/>
      <w:lvlText w:val="•"/>
      <w:lvlJc w:val="left"/>
      <w:pPr>
        <w:ind w:left="2003" w:hanging="284"/>
      </w:pPr>
      <w:rPr>
        <w:rFonts w:hint="default"/>
        <w:lang w:val="en-US" w:eastAsia="en-US" w:bidi="ar-SA"/>
      </w:rPr>
    </w:lvl>
    <w:lvl w:ilvl="7" w:tplc="BDA86810">
      <w:numFmt w:val="bullet"/>
      <w:lvlText w:val="•"/>
      <w:lvlJc w:val="left"/>
      <w:pPr>
        <w:ind w:left="2278" w:hanging="284"/>
      </w:pPr>
      <w:rPr>
        <w:rFonts w:hint="default"/>
        <w:lang w:val="en-US" w:eastAsia="en-US" w:bidi="ar-SA"/>
      </w:rPr>
    </w:lvl>
    <w:lvl w:ilvl="8" w:tplc="96D2A3BC">
      <w:numFmt w:val="bullet"/>
      <w:lvlText w:val="•"/>
      <w:lvlJc w:val="left"/>
      <w:pPr>
        <w:ind w:left="2554" w:hanging="284"/>
      </w:pPr>
      <w:rPr>
        <w:rFonts w:hint="default"/>
        <w:lang w:val="en-US" w:eastAsia="en-US" w:bidi="ar-SA"/>
      </w:rPr>
    </w:lvl>
  </w:abstractNum>
  <w:abstractNum w:abstractNumId="7">
    <w:nsid w:val="10EA1203"/>
    <w:multiLevelType w:val="hybridMultilevel"/>
    <w:tmpl w:val="21F40126"/>
    <w:lvl w:ilvl="0" w:tplc="CCCE7B3A">
      <w:numFmt w:val="bullet"/>
      <w:lvlText w:val=""/>
      <w:lvlJc w:val="left"/>
      <w:pPr>
        <w:ind w:left="360" w:hanging="360"/>
      </w:pPr>
      <w:rPr>
        <w:rFonts w:ascii="Wingdings" w:eastAsia="Wingdings" w:hAnsi="Wingdings" w:cs="Wingdings" w:hint="default"/>
        <w:w w:val="99"/>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450886"/>
    <w:multiLevelType w:val="hybridMultilevel"/>
    <w:tmpl w:val="7D8857CC"/>
    <w:lvl w:ilvl="0" w:tplc="CCCE7B3A">
      <w:numFmt w:val="bullet"/>
      <w:lvlText w:val=""/>
      <w:lvlJc w:val="left"/>
      <w:pPr>
        <w:ind w:left="360" w:hanging="360"/>
      </w:pPr>
      <w:rPr>
        <w:rFonts w:ascii="Wingdings" w:eastAsia="Wingdings" w:hAnsi="Wingdings" w:cs="Wingdings" w:hint="default"/>
        <w:w w:val="99"/>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524139"/>
    <w:multiLevelType w:val="hybridMultilevel"/>
    <w:tmpl w:val="B6542486"/>
    <w:lvl w:ilvl="0" w:tplc="7EBA2D84">
      <w:numFmt w:val="bullet"/>
      <w:lvlText w:val=""/>
      <w:lvlJc w:val="left"/>
      <w:pPr>
        <w:ind w:left="431" w:hanging="324"/>
      </w:pPr>
      <w:rPr>
        <w:rFonts w:ascii="Wingdings" w:eastAsia="Wingdings" w:hAnsi="Wingdings" w:cs="Wingdings" w:hint="default"/>
        <w:w w:val="100"/>
        <w:sz w:val="22"/>
        <w:szCs w:val="22"/>
        <w:lang w:val="en-US" w:eastAsia="en-US" w:bidi="ar-SA"/>
      </w:rPr>
    </w:lvl>
    <w:lvl w:ilvl="1" w:tplc="A7BEBB9C">
      <w:numFmt w:val="bullet"/>
      <w:lvlText w:val="•"/>
      <w:lvlJc w:val="left"/>
      <w:pPr>
        <w:ind w:left="855" w:hanging="324"/>
      </w:pPr>
      <w:rPr>
        <w:rFonts w:hint="default"/>
        <w:lang w:val="en-US" w:eastAsia="en-US" w:bidi="ar-SA"/>
      </w:rPr>
    </w:lvl>
    <w:lvl w:ilvl="2" w:tplc="CFD01934">
      <w:numFmt w:val="bullet"/>
      <w:lvlText w:val="•"/>
      <w:lvlJc w:val="left"/>
      <w:pPr>
        <w:ind w:left="1271" w:hanging="324"/>
      </w:pPr>
      <w:rPr>
        <w:rFonts w:hint="default"/>
        <w:lang w:val="en-US" w:eastAsia="en-US" w:bidi="ar-SA"/>
      </w:rPr>
    </w:lvl>
    <w:lvl w:ilvl="3" w:tplc="4F6C7CDC">
      <w:numFmt w:val="bullet"/>
      <w:lvlText w:val="•"/>
      <w:lvlJc w:val="left"/>
      <w:pPr>
        <w:ind w:left="1687" w:hanging="324"/>
      </w:pPr>
      <w:rPr>
        <w:rFonts w:hint="default"/>
        <w:lang w:val="en-US" w:eastAsia="en-US" w:bidi="ar-SA"/>
      </w:rPr>
    </w:lvl>
    <w:lvl w:ilvl="4" w:tplc="6E902414">
      <w:numFmt w:val="bullet"/>
      <w:lvlText w:val="•"/>
      <w:lvlJc w:val="left"/>
      <w:pPr>
        <w:ind w:left="2102" w:hanging="324"/>
      </w:pPr>
      <w:rPr>
        <w:rFonts w:hint="default"/>
        <w:lang w:val="en-US" w:eastAsia="en-US" w:bidi="ar-SA"/>
      </w:rPr>
    </w:lvl>
    <w:lvl w:ilvl="5" w:tplc="908026F0">
      <w:numFmt w:val="bullet"/>
      <w:lvlText w:val="•"/>
      <w:lvlJc w:val="left"/>
      <w:pPr>
        <w:ind w:left="2518" w:hanging="324"/>
      </w:pPr>
      <w:rPr>
        <w:rFonts w:hint="default"/>
        <w:lang w:val="en-US" w:eastAsia="en-US" w:bidi="ar-SA"/>
      </w:rPr>
    </w:lvl>
    <w:lvl w:ilvl="6" w:tplc="1FFEB712">
      <w:numFmt w:val="bullet"/>
      <w:lvlText w:val="•"/>
      <w:lvlJc w:val="left"/>
      <w:pPr>
        <w:ind w:left="2934" w:hanging="324"/>
      </w:pPr>
      <w:rPr>
        <w:rFonts w:hint="default"/>
        <w:lang w:val="en-US" w:eastAsia="en-US" w:bidi="ar-SA"/>
      </w:rPr>
    </w:lvl>
    <w:lvl w:ilvl="7" w:tplc="C24A4492">
      <w:numFmt w:val="bullet"/>
      <w:lvlText w:val="•"/>
      <w:lvlJc w:val="left"/>
      <w:pPr>
        <w:ind w:left="3349" w:hanging="324"/>
      </w:pPr>
      <w:rPr>
        <w:rFonts w:hint="default"/>
        <w:lang w:val="en-US" w:eastAsia="en-US" w:bidi="ar-SA"/>
      </w:rPr>
    </w:lvl>
    <w:lvl w:ilvl="8" w:tplc="EFEA9984">
      <w:numFmt w:val="bullet"/>
      <w:lvlText w:val="•"/>
      <w:lvlJc w:val="left"/>
      <w:pPr>
        <w:ind w:left="3765" w:hanging="324"/>
      </w:pPr>
      <w:rPr>
        <w:rFonts w:hint="default"/>
        <w:lang w:val="en-US" w:eastAsia="en-US" w:bidi="ar-SA"/>
      </w:rPr>
    </w:lvl>
  </w:abstractNum>
  <w:abstractNum w:abstractNumId="10">
    <w:nsid w:val="1CF81EA5"/>
    <w:multiLevelType w:val="hybridMultilevel"/>
    <w:tmpl w:val="AE6E30EA"/>
    <w:lvl w:ilvl="0" w:tplc="CCCE7B3A">
      <w:numFmt w:val="bullet"/>
      <w:lvlText w:val=""/>
      <w:lvlJc w:val="left"/>
      <w:pPr>
        <w:ind w:left="407" w:hanging="360"/>
      </w:pPr>
      <w:rPr>
        <w:rFonts w:ascii="Wingdings" w:eastAsia="Wingdings" w:hAnsi="Wingdings" w:cs="Wingdings" w:hint="default"/>
        <w:w w:val="99"/>
        <w:sz w:val="20"/>
        <w:szCs w:val="20"/>
        <w:lang w:val="en-US" w:eastAsia="en-US" w:bidi="ar-SA"/>
      </w:rPr>
    </w:lvl>
    <w:lvl w:ilvl="1" w:tplc="F4587D84">
      <w:numFmt w:val="bullet"/>
      <w:lvlText w:val="•"/>
      <w:lvlJc w:val="left"/>
      <w:pPr>
        <w:ind w:left="812" w:hanging="360"/>
      </w:pPr>
      <w:rPr>
        <w:rFonts w:hint="default"/>
        <w:lang w:val="en-US" w:eastAsia="en-US" w:bidi="ar-SA"/>
      </w:rPr>
    </w:lvl>
    <w:lvl w:ilvl="2" w:tplc="B34029FC">
      <w:numFmt w:val="bullet"/>
      <w:lvlText w:val="•"/>
      <w:lvlJc w:val="left"/>
      <w:pPr>
        <w:ind w:left="1224" w:hanging="360"/>
      </w:pPr>
      <w:rPr>
        <w:rFonts w:hint="default"/>
        <w:lang w:val="en-US" w:eastAsia="en-US" w:bidi="ar-SA"/>
      </w:rPr>
    </w:lvl>
    <w:lvl w:ilvl="3" w:tplc="1C568F68">
      <w:numFmt w:val="bullet"/>
      <w:lvlText w:val="•"/>
      <w:lvlJc w:val="left"/>
      <w:pPr>
        <w:ind w:left="1636" w:hanging="360"/>
      </w:pPr>
      <w:rPr>
        <w:rFonts w:hint="default"/>
        <w:lang w:val="en-US" w:eastAsia="en-US" w:bidi="ar-SA"/>
      </w:rPr>
    </w:lvl>
    <w:lvl w:ilvl="4" w:tplc="0AA832FC">
      <w:numFmt w:val="bullet"/>
      <w:lvlText w:val="•"/>
      <w:lvlJc w:val="left"/>
      <w:pPr>
        <w:ind w:left="2049" w:hanging="360"/>
      </w:pPr>
      <w:rPr>
        <w:rFonts w:hint="default"/>
        <w:lang w:val="en-US" w:eastAsia="en-US" w:bidi="ar-SA"/>
      </w:rPr>
    </w:lvl>
    <w:lvl w:ilvl="5" w:tplc="428C7204">
      <w:numFmt w:val="bullet"/>
      <w:lvlText w:val="•"/>
      <w:lvlJc w:val="left"/>
      <w:pPr>
        <w:ind w:left="2461" w:hanging="360"/>
      </w:pPr>
      <w:rPr>
        <w:rFonts w:hint="default"/>
        <w:lang w:val="en-US" w:eastAsia="en-US" w:bidi="ar-SA"/>
      </w:rPr>
    </w:lvl>
    <w:lvl w:ilvl="6" w:tplc="6F7A259C">
      <w:numFmt w:val="bullet"/>
      <w:lvlText w:val="•"/>
      <w:lvlJc w:val="left"/>
      <w:pPr>
        <w:ind w:left="2873" w:hanging="360"/>
      </w:pPr>
      <w:rPr>
        <w:rFonts w:hint="default"/>
        <w:lang w:val="en-US" w:eastAsia="en-US" w:bidi="ar-SA"/>
      </w:rPr>
    </w:lvl>
    <w:lvl w:ilvl="7" w:tplc="39968F26">
      <w:numFmt w:val="bullet"/>
      <w:lvlText w:val="•"/>
      <w:lvlJc w:val="left"/>
      <w:pPr>
        <w:ind w:left="3286" w:hanging="360"/>
      </w:pPr>
      <w:rPr>
        <w:rFonts w:hint="default"/>
        <w:lang w:val="en-US" w:eastAsia="en-US" w:bidi="ar-SA"/>
      </w:rPr>
    </w:lvl>
    <w:lvl w:ilvl="8" w:tplc="3968D0E2">
      <w:numFmt w:val="bullet"/>
      <w:lvlText w:val="•"/>
      <w:lvlJc w:val="left"/>
      <w:pPr>
        <w:ind w:left="3698" w:hanging="360"/>
      </w:pPr>
      <w:rPr>
        <w:rFonts w:hint="default"/>
        <w:lang w:val="en-US" w:eastAsia="en-US" w:bidi="ar-SA"/>
      </w:rPr>
    </w:lvl>
  </w:abstractNum>
  <w:abstractNum w:abstractNumId="11">
    <w:nsid w:val="248E0940"/>
    <w:multiLevelType w:val="hybridMultilevel"/>
    <w:tmpl w:val="08644C6A"/>
    <w:lvl w:ilvl="0" w:tplc="9496E0AA">
      <w:numFmt w:val="bullet"/>
      <w:lvlText w:val=""/>
      <w:lvlJc w:val="left"/>
      <w:pPr>
        <w:ind w:left="720" w:hanging="360"/>
      </w:pPr>
      <w:rPr>
        <w:rFonts w:ascii="Wingdings" w:eastAsia="Wingdings" w:hAnsi="Wingdings" w:cs="Wingdings" w:hint="default"/>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4C2DB4"/>
    <w:multiLevelType w:val="hybridMultilevel"/>
    <w:tmpl w:val="FF3C5F42"/>
    <w:lvl w:ilvl="0" w:tplc="CC30E5D0">
      <w:start w:val="1"/>
      <w:numFmt w:val="decimal"/>
      <w:lvlText w:val="%1."/>
      <w:lvlJc w:val="left"/>
      <w:pPr>
        <w:ind w:left="383" w:hanging="305"/>
        <w:jc w:val="left"/>
      </w:pPr>
      <w:rPr>
        <w:rFonts w:ascii="Times New Roman" w:eastAsia="Times New Roman" w:hAnsi="Times New Roman" w:cs="Times New Roman" w:hint="default"/>
        <w:b/>
        <w:bCs/>
        <w:w w:val="100"/>
        <w:sz w:val="22"/>
        <w:szCs w:val="22"/>
        <w:shd w:val="clear" w:color="auto" w:fill="F8F8F8"/>
        <w:lang w:val="en-US" w:eastAsia="en-US" w:bidi="ar-SA"/>
      </w:rPr>
    </w:lvl>
    <w:lvl w:ilvl="1" w:tplc="FE162A00">
      <w:numFmt w:val="bullet"/>
      <w:lvlText w:val=""/>
      <w:lvlJc w:val="left"/>
      <w:pPr>
        <w:ind w:left="743" w:hanging="389"/>
      </w:pPr>
      <w:rPr>
        <w:rFonts w:ascii="Symbol" w:eastAsia="Symbol" w:hAnsi="Symbol" w:cs="Symbol" w:hint="default"/>
        <w:w w:val="100"/>
        <w:sz w:val="22"/>
        <w:szCs w:val="22"/>
        <w:shd w:val="clear" w:color="auto" w:fill="F8F8F8"/>
        <w:lang w:val="en-US" w:eastAsia="en-US" w:bidi="ar-SA"/>
      </w:rPr>
    </w:lvl>
    <w:lvl w:ilvl="2" w:tplc="9C8C0C86">
      <w:numFmt w:val="bullet"/>
      <w:lvlText w:val="•"/>
      <w:lvlJc w:val="left"/>
      <w:pPr>
        <w:ind w:left="1168" w:hanging="389"/>
      </w:pPr>
      <w:rPr>
        <w:rFonts w:hint="default"/>
        <w:lang w:val="en-US" w:eastAsia="en-US" w:bidi="ar-SA"/>
      </w:rPr>
    </w:lvl>
    <w:lvl w:ilvl="3" w:tplc="BBDA3C08">
      <w:numFmt w:val="bullet"/>
      <w:lvlText w:val="•"/>
      <w:lvlJc w:val="left"/>
      <w:pPr>
        <w:ind w:left="1597" w:hanging="389"/>
      </w:pPr>
      <w:rPr>
        <w:rFonts w:hint="default"/>
        <w:lang w:val="en-US" w:eastAsia="en-US" w:bidi="ar-SA"/>
      </w:rPr>
    </w:lvl>
    <w:lvl w:ilvl="4" w:tplc="55FC3C1E">
      <w:numFmt w:val="bullet"/>
      <w:lvlText w:val="•"/>
      <w:lvlJc w:val="left"/>
      <w:pPr>
        <w:ind w:left="2026" w:hanging="389"/>
      </w:pPr>
      <w:rPr>
        <w:rFonts w:hint="default"/>
        <w:lang w:val="en-US" w:eastAsia="en-US" w:bidi="ar-SA"/>
      </w:rPr>
    </w:lvl>
    <w:lvl w:ilvl="5" w:tplc="CD409372">
      <w:numFmt w:val="bullet"/>
      <w:lvlText w:val="•"/>
      <w:lvlJc w:val="left"/>
      <w:pPr>
        <w:ind w:left="2454" w:hanging="389"/>
      </w:pPr>
      <w:rPr>
        <w:rFonts w:hint="default"/>
        <w:lang w:val="en-US" w:eastAsia="en-US" w:bidi="ar-SA"/>
      </w:rPr>
    </w:lvl>
    <w:lvl w:ilvl="6" w:tplc="F8A6913E">
      <w:numFmt w:val="bullet"/>
      <w:lvlText w:val="•"/>
      <w:lvlJc w:val="left"/>
      <w:pPr>
        <w:ind w:left="2883" w:hanging="389"/>
      </w:pPr>
      <w:rPr>
        <w:rFonts w:hint="default"/>
        <w:lang w:val="en-US" w:eastAsia="en-US" w:bidi="ar-SA"/>
      </w:rPr>
    </w:lvl>
    <w:lvl w:ilvl="7" w:tplc="5DEA635E">
      <w:numFmt w:val="bullet"/>
      <w:lvlText w:val="•"/>
      <w:lvlJc w:val="left"/>
      <w:pPr>
        <w:ind w:left="3312" w:hanging="389"/>
      </w:pPr>
      <w:rPr>
        <w:rFonts w:hint="default"/>
        <w:lang w:val="en-US" w:eastAsia="en-US" w:bidi="ar-SA"/>
      </w:rPr>
    </w:lvl>
    <w:lvl w:ilvl="8" w:tplc="ABCC3064">
      <w:numFmt w:val="bullet"/>
      <w:lvlText w:val="•"/>
      <w:lvlJc w:val="left"/>
      <w:pPr>
        <w:ind w:left="3740" w:hanging="389"/>
      </w:pPr>
      <w:rPr>
        <w:rFonts w:hint="default"/>
        <w:lang w:val="en-US" w:eastAsia="en-US" w:bidi="ar-SA"/>
      </w:rPr>
    </w:lvl>
  </w:abstractNum>
  <w:abstractNum w:abstractNumId="13">
    <w:nsid w:val="3C94350A"/>
    <w:multiLevelType w:val="hybridMultilevel"/>
    <w:tmpl w:val="04940902"/>
    <w:lvl w:ilvl="0" w:tplc="CCCE7B3A">
      <w:numFmt w:val="bullet"/>
      <w:lvlText w:val=""/>
      <w:lvlJc w:val="left"/>
      <w:pPr>
        <w:ind w:left="502" w:hanging="360"/>
      </w:pPr>
      <w:rPr>
        <w:rFonts w:ascii="Wingdings" w:eastAsia="Wingdings" w:hAnsi="Wingdings" w:cs="Wingdings" w:hint="default"/>
        <w:w w:val="99"/>
        <w:sz w:val="20"/>
        <w:szCs w:val="20"/>
        <w:lang w:val="en-US" w:eastAsia="en-US" w:bidi="ar-SA"/>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nsid w:val="3CC80312"/>
    <w:multiLevelType w:val="hybridMultilevel"/>
    <w:tmpl w:val="138661FC"/>
    <w:lvl w:ilvl="0" w:tplc="11F09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AE7AC8"/>
    <w:multiLevelType w:val="hybridMultilevel"/>
    <w:tmpl w:val="33849BBA"/>
    <w:lvl w:ilvl="0" w:tplc="CB8679D6">
      <w:numFmt w:val="bullet"/>
      <w:lvlText w:val=""/>
      <w:lvlJc w:val="left"/>
      <w:pPr>
        <w:ind w:left="750" w:hanging="360"/>
      </w:pPr>
      <w:rPr>
        <w:rFonts w:ascii="Symbol" w:eastAsia="Symbol" w:hAnsi="Symbol" w:cs="Symbol" w:hint="default"/>
        <w:w w:val="100"/>
        <w:sz w:val="22"/>
        <w:szCs w:val="22"/>
        <w:lang w:val="en-US" w:eastAsia="en-US" w:bidi="ar-SA"/>
      </w:rPr>
    </w:lvl>
    <w:lvl w:ilvl="1" w:tplc="88B280E6">
      <w:numFmt w:val="bullet"/>
      <w:lvlText w:val="•"/>
      <w:lvlJc w:val="left"/>
      <w:pPr>
        <w:ind w:left="1143" w:hanging="360"/>
      </w:pPr>
      <w:rPr>
        <w:rFonts w:hint="default"/>
        <w:lang w:val="en-US" w:eastAsia="en-US" w:bidi="ar-SA"/>
      </w:rPr>
    </w:lvl>
    <w:lvl w:ilvl="2" w:tplc="80A0EF80">
      <w:numFmt w:val="bullet"/>
      <w:lvlText w:val="•"/>
      <w:lvlJc w:val="left"/>
      <w:pPr>
        <w:ind w:left="1527" w:hanging="360"/>
      </w:pPr>
      <w:rPr>
        <w:rFonts w:hint="default"/>
        <w:lang w:val="en-US" w:eastAsia="en-US" w:bidi="ar-SA"/>
      </w:rPr>
    </w:lvl>
    <w:lvl w:ilvl="3" w:tplc="970C20F2">
      <w:numFmt w:val="bullet"/>
      <w:lvlText w:val="•"/>
      <w:lvlJc w:val="left"/>
      <w:pPr>
        <w:ind w:left="1911" w:hanging="360"/>
      </w:pPr>
      <w:rPr>
        <w:rFonts w:hint="default"/>
        <w:lang w:val="en-US" w:eastAsia="en-US" w:bidi="ar-SA"/>
      </w:rPr>
    </w:lvl>
    <w:lvl w:ilvl="4" w:tplc="3F38ADA6">
      <w:numFmt w:val="bullet"/>
      <w:lvlText w:val="•"/>
      <w:lvlJc w:val="left"/>
      <w:pPr>
        <w:ind w:left="2294" w:hanging="360"/>
      </w:pPr>
      <w:rPr>
        <w:rFonts w:hint="default"/>
        <w:lang w:val="en-US" w:eastAsia="en-US" w:bidi="ar-SA"/>
      </w:rPr>
    </w:lvl>
    <w:lvl w:ilvl="5" w:tplc="395832BC">
      <w:numFmt w:val="bullet"/>
      <w:lvlText w:val="•"/>
      <w:lvlJc w:val="left"/>
      <w:pPr>
        <w:ind w:left="2678" w:hanging="360"/>
      </w:pPr>
      <w:rPr>
        <w:rFonts w:hint="default"/>
        <w:lang w:val="en-US" w:eastAsia="en-US" w:bidi="ar-SA"/>
      </w:rPr>
    </w:lvl>
    <w:lvl w:ilvl="6" w:tplc="BD2CC1F0">
      <w:numFmt w:val="bullet"/>
      <w:lvlText w:val="•"/>
      <w:lvlJc w:val="left"/>
      <w:pPr>
        <w:ind w:left="3062" w:hanging="360"/>
      </w:pPr>
      <w:rPr>
        <w:rFonts w:hint="default"/>
        <w:lang w:val="en-US" w:eastAsia="en-US" w:bidi="ar-SA"/>
      </w:rPr>
    </w:lvl>
    <w:lvl w:ilvl="7" w:tplc="CA082938">
      <w:numFmt w:val="bullet"/>
      <w:lvlText w:val="•"/>
      <w:lvlJc w:val="left"/>
      <w:pPr>
        <w:ind w:left="3445" w:hanging="360"/>
      </w:pPr>
      <w:rPr>
        <w:rFonts w:hint="default"/>
        <w:lang w:val="en-US" w:eastAsia="en-US" w:bidi="ar-SA"/>
      </w:rPr>
    </w:lvl>
    <w:lvl w:ilvl="8" w:tplc="AEF09E1E">
      <w:numFmt w:val="bullet"/>
      <w:lvlText w:val="•"/>
      <w:lvlJc w:val="left"/>
      <w:pPr>
        <w:ind w:left="3829" w:hanging="360"/>
      </w:pPr>
      <w:rPr>
        <w:rFonts w:hint="default"/>
        <w:lang w:val="en-US" w:eastAsia="en-US" w:bidi="ar-SA"/>
      </w:rPr>
    </w:lvl>
  </w:abstractNum>
  <w:abstractNum w:abstractNumId="16">
    <w:nsid w:val="4A723412"/>
    <w:multiLevelType w:val="hybridMultilevel"/>
    <w:tmpl w:val="894CD322"/>
    <w:lvl w:ilvl="0" w:tplc="413AA104">
      <w:start w:val="3"/>
      <w:numFmt w:val="decimal"/>
      <w:lvlText w:val="%1."/>
      <w:lvlJc w:val="left"/>
      <w:pPr>
        <w:ind w:left="500" w:hanging="238"/>
        <w:jc w:val="right"/>
      </w:pPr>
      <w:rPr>
        <w:rFonts w:ascii="Times New Roman" w:eastAsia="Times New Roman" w:hAnsi="Times New Roman" w:cs="Times New Roman" w:hint="default"/>
        <w:b/>
        <w:bCs/>
        <w:w w:val="100"/>
        <w:sz w:val="22"/>
        <w:szCs w:val="22"/>
        <w:lang w:val="en-US" w:eastAsia="en-US" w:bidi="ar-SA"/>
      </w:rPr>
    </w:lvl>
    <w:lvl w:ilvl="1" w:tplc="B8C0118C">
      <w:numFmt w:val="bullet"/>
      <w:lvlText w:val=""/>
      <w:lvlJc w:val="left"/>
      <w:pPr>
        <w:ind w:left="841" w:hanging="284"/>
      </w:pPr>
      <w:rPr>
        <w:rFonts w:ascii="Symbol" w:eastAsia="Symbol" w:hAnsi="Symbol" w:cs="Symbol" w:hint="default"/>
        <w:w w:val="100"/>
        <w:sz w:val="22"/>
        <w:szCs w:val="22"/>
        <w:lang w:val="en-US" w:eastAsia="en-US" w:bidi="ar-SA"/>
      </w:rPr>
    </w:lvl>
    <w:lvl w:ilvl="2" w:tplc="8772B5FE">
      <w:numFmt w:val="bullet"/>
      <w:lvlText w:val="•"/>
      <w:lvlJc w:val="left"/>
      <w:pPr>
        <w:ind w:left="1180" w:hanging="284"/>
      </w:pPr>
      <w:rPr>
        <w:rFonts w:hint="default"/>
        <w:lang w:val="en-US" w:eastAsia="en-US" w:bidi="ar-SA"/>
      </w:rPr>
    </w:lvl>
    <w:lvl w:ilvl="3" w:tplc="45202C6C">
      <w:numFmt w:val="bullet"/>
      <w:lvlText w:val="•"/>
      <w:lvlJc w:val="left"/>
      <w:pPr>
        <w:ind w:left="1420" w:hanging="284"/>
      </w:pPr>
      <w:rPr>
        <w:rFonts w:hint="default"/>
        <w:lang w:val="en-US" w:eastAsia="en-US" w:bidi="ar-SA"/>
      </w:rPr>
    </w:lvl>
    <w:lvl w:ilvl="4" w:tplc="A5D21446">
      <w:numFmt w:val="bullet"/>
      <w:lvlText w:val="•"/>
      <w:lvlJc w:val="left"/>
      <w:pPr>
        <w:ind w:left="1661" w:hanging="284"/>
      </w:pPr>
      <w:rPr>
        <w:rFonts w:hint="default"/>
        <w:lang w:val="en-US" w:eastAsia="en-US" w:bidi="ar-SA"/>
      </w:rPr>
    </w:lvl>
    <w:lvl w:ilvl="5" w:tplc="33A48222">
      <w:numFmt w:val="bullet"/>
      <w:lvlText w:val="•"/>
      <w:lvlJc w:val="left"/>
      <w:pPr>
        <w:ind w:left="1902" w:hanging="284"/>
      </w:pPr>
      <w:rPr>
        <w:rFonts w:hint="default"/>
        <w:lang w:val="en-US" w:eastAsia="en-US" w:bidi="ar-SA"/>
      </w:rPr>
    </w:lvl>
    <w:lvl w:ilvl="6" w:tplc="ED824068">
      <w:numFmt w:val="bullet"/>
      <w:lvlText w:val="•"/>
      <w:lvlJc w:val="left"/>
      <w:pPr>
        <w:ind w:left="2143" w:hanging="284"/>
      </w:pPr>
      <w:rPr>
        <w:rFonts w:hint="default"/>
        <w:lang w:val="en-US" w:eastAsia="en-US" w:bidi="ar-SA"/>
      </w:rPr>
    </w:lvl>
    <w:lvl w:ilvl="7" w:tplc="388CA8CE">
      <w:numFmt w:val="bullet"/>
      <w:lvlText w:val="•"/>
      <w:lvlJc w:val="left"/>
      <w:pPr>
        <w:ind w:left="2383" w:hanging="284"/>
      </w:pPr>
      <w:rPr>
        <w:rFonts w:hint="default"/>
        <w:lang w:val="en-US" w:eastAsia="en-US" w:bidi="ar-SA"/>
      </w:rPr>
    </w:lvl>
    <w:lvl w:ilvl="8" w:tplc="86E69124">
      <w:numFmt w:val="bullet"/>
      <w:lvlText w:val="•"/>
      <w:lvlJc w:val="left"/>
      <w:pPr>
        <w:ind w:left="2624" w:hanging="284"/>
      </w:pPr>
      <w:rPr>
        <w:rFonts w:hint="default"/>
        <w:lang w:val="en-US" w:eastAsia="en-US" w:bidi="ar-SA"/>
      </w:rPr>
    </w:lvl>
  </w:abstractNum>
  <w:abstractNum w:abstractNumId="17">
    <w:nsid w:val="4C3A0348"/>
    <w:multiLevelType w:val="hybridMultilevel"/>
    <w:tmpl w:val="3878A70C"/>
    <w:lvl w:ilvl="0" w:tplc="CCCE7B3A">
      <w:numFmt w:val="bullet"/>
      <w:lvlText w:val=""/>
      <w:lvlJc w:val="left"/>
      <w:pPr>
        <w:ind w:left="1027" w:hanging="360"/>
      </w:pPr>
      <w:rPr>
        <w:rFonts w:ascii="Wingdings" w:eastAsia="Wingdings" w:hAnsi="Wingdings" w:cs="Wingdings" w:hint="default"/>
        <w:w w:val="99"/>
        <w:sz w:val="20"/>
        <w:szCs w:val="20"/>
        <w:lang w:val="en-US" w:eastAsia="en-US" w:bidi="ar-SA"/>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18">
    <w:nsid w:val="4E8F7F08"/>
    <w:multiLevelType w:val="hybridMultilevel"/>
    <w:tmpl w:val="5B88DD62"/>
    <w:lvl w:ilvl="0" w:tplc="9496E0AA">
      <w:numFmt w:val="bullet"/>
      <w:lvlText w:val=""/>
      <w:lvlJc w:val="left"/>
      <w:pPr>
        <w:ind w:left="360" w:hanging="360"/>
      </w:pPr>
      <w:rPr>
        <w:rFonts w:ascii="Wingdings" w:eastAsia="Wingdings" w:hAnsi="Wingdings" w:cs="Wingdings" w:hint="default"/>
        <w:w w:val="99"/>
        <w:sz w:val="20"/>
        <w:szCs w:val="20"/>
        <w:lang w:val="en-US" w:eastAsia="en-US" w:bidi="ar-SA"/>
      </w:rPr>
    </w:lvl>
    <w:lvl w:ilvl="1" w:tplc="04090003" w:tentative="1">
      <w:start w:val="1"/>
      <w:numFmt w:val="bullet"/>
      <w:lvlText w:val="o"/>
      <w:lvlJc w:val="left"/>
      <w:pPr>
        <w:ind w:left="1299" w:hanging="360"/>
      </w:pPr>
      <w:rPr>
        <w:rFonts w:ascii="Courier New" w:hAnsi="Courier New" w:cs="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cs="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cs="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19">
    <w:nsid w:val="51656161"/>
    <w:multiLevelType w:val="hybridMultilevel"/>
    <w:tmpl w:val="03B46078"/>
    <w:lvl w:ilvl="0" w:tplc="72162666">
      <w:start w:val="7"/>
      <w:numFmt w:val="decimal"/>
      <w:lvlText w:val="%1."/>
      <w:lvlJc w:val="left"/>
      <w:pPr>
        <w:ind w:left="467" w:hanging="360"/>
        <w:jc w:val="left"/>
      </w:pPr>
      <w:rPr>
        <w:rFonts w:ascii="Times New Roman" w:eastAsia="Times New Roman" w:hAnsi="Times New Roman" w:cs="Times New Roman" w:hint="default"/>
        <w:b/>
        <w:bCs/>
        <w:w w:val="100"/>
        <w:sz w:val="22"/>
        <w:szCs w:val="22"/>
        <w:lang w:val="en-US" w:eastAsia="en-US" w:bidi="ar-SA"/>
      </w:rPr>
    </w:lvl>
    <w:lvl w:ilvl="1" w:tplc="94F2B29A">
      <w:numFmt w:val="bullet"/>
      <w:lvlText w:val=""/>
      <w:lvlJc w:val="left"/>
      <w:pPr>
        <w:ind w:left="894" w:hanging="360"/>
      </w:pPr>
      <w:rPr>
        <w:rFonts w:ascii="Symbol" w:eastAsia="Symbol" w:hAnsi="Symbol" w:cs="Symbol" w:hint="default"/>
        <w:w w:val="100"/>
        <w:sz w:val="22"/>
        <w:szCs w:val="22"/>
        <w:lang w:val="en-US" w:eastAsia="en-US" w:bidi="ar-SA"/>
      </w:rPr>
    </w:lvl>
    <w:lvl w:ilvl="2" w:tplc="6C6C015E">
      <w:numFmt w:val="bullet"/>
      <w:lvlText w:val="•"/>
      <w:lvlJc w:val="left"/>
      <w:pPr>
        <w:ind w:left="1145" w:hanging="360"/>
      </w:pPr>
      <w:rPr>
        <w:rFonts w:hint="default"/>
        <w:lang w:val="en-US" w:eastAsia="en-US" w:bidi="ar-SA"/>
      </w:rPr>
    </w:lvl>
    <w:lvl w:ilvl="3" w:tplc="E7E6039A">
      <w:numFmt w:val="bullet"/>
      <w:lvlText w:val="•"/>
      <w:lvlJc w:val="left"/>
      <w:pPr>
        <w:ind w:left="1390" w:hanging="360"/>
      </w:pPr>
      <w:rPr>
        <w:rFonts w:hint="default"/>
        <w:lang w:val="en-US" w:eastAsia="en-US" w:bidi="ar-SA"/>
      </w:rPr>
    </w:lvl>
    <w:lvl w:ilvl="4" w:tplc="96CA538C">
      <w:numFmt w:val="bullet"/>
      <w:lvlText w:val="•"/>
      <w:lvlJc w:val="left"/>
      <w:pPr>
        <w:ind w:left="1635" w:hanging="360"/>
      </w:pPr>
      <w:rPr>
        <w:rFonts w:hint="default"/>
        <w:lang w:val="en-US" w:eastAsia="en-US" w:bidi="ar-SA"/>
      </w:rPr>
    </w:lvl>
    <w:lvl w:ilvl="5" w:tplc="B52AC54E">
      <w:numFmt w:val="bullet"/>
      <w:lvlText w:val="•"/>
      <w:lvlJc w:val="left"/>
      <w:pPr>
        <w:ind w:left="1880" w:hanging="360"/>
      </w:pPr>
      <w:rPr>
        <w:rFonts w:hint="default"/>
        <w:lang w:val="en-US" w:eastAsia="en-US" w:bidi="ar-SA"/>
      </w:rPr>
    </w:lvl>
    <w:lvl w:ilvl="6" w:tplc="F7646668">
      <w:numFmt w:val="bullet"/>
      <w:lvlText w:val="•"/>
      <w:lvlJc w:val="left"/>
      <w:pPr>
        <w:ind w:left="2125" w:hanging="360"/>
      </w:pPr>
      <w:rPr>
        <w:rFonts w:hint="default"/>
        <w:lang w:val="en-US" w:eastAsia="en-US" w:bidi="ar-SA"/>
      </w:rPr>
    </w:lvl>
    <w:lvl w:ilvl="7" w:tplc="F9B8CC96">
      <w:numFmt w:val="bullet"/>
      <w:lvlText w:val="•"/>
      <w:lvlJc w:val="left"/>
      <w:pPr>
        <w:ind w:left="2370" w:hanging="360"/>
      </w:pPr>
      <w:rPr>
        <w:rFonts w:hint="default"/>
        <w:lang w:val="en-US" w:eastAsia="en-US" w:bidi="ar-SA"/>
      </w:rPr>
    </w:lvl>
    <w:lvl w:ilvl="8" w:tplc="3D9ABDBE">
      <w:numFmt w:val="bullet"/>
      <w:lvlText w:val="•"/>
      <w:lvlJc w:val="left"/>
      <w:pPr>
        <w:ind w:left="2615" w:hanging="360"/>
      </w:pPr>
      <w:rPr>
        <w:rFonts w:hint="default"/>
        <w:lang w:val="en-US" w:eastAsia="en-US" w:bidi="ar-SA"/>
      </w:rPr>
    </w:lvl>
  </w:abstractNum>
  <w:abstractNum w:abstractNumId="20">
    <w:nsid w:val="55310730"/>
    <w:multiLevelType w:val="hybridMultilevel"/>
    <w:tmpl w:val="F66C2AEA"/>
    <w:lvl w:ilvl="0" w:tplc="8B8870B4">
      <w:numFmt w:val="bullet"/>
      <w:lvlText w:val=""/>
      <w:lvlJc w:val="left"/>
      <w:pPr>
        <w:ind w:left="502" w:hanging="360"/>
      </w:pPr>
      <w:rPr>
        <w:rFonts w:ascii="Wingdings" w:eastAsia="Wingdings" w:hAnsi="Wingdings" w:cs="Wingdings" w:hint="default"/>
        <w:w w:val="100"/>
        <w:sz w:val="22"/>
        <w:szCs w:val="22"/>
        <w:lang w:val="en-US" w:eastAsia="en-US" w:bidi="ar-SA"/>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nsid w:val="59CD596D"/>
    <w:multiLevelType w:val="hybridMultilevel"/>
    <w:tmpl w:val="D6062C7A"/>
    <w:lvl w:ilvl="0" w:tplc="9496E0AA">
      <w:numFmt w:val="bullet"/>
      <w:lvlText w:val=""/>
      <w:lvlJc w:val="left"/>
      <w:pPr>
        <w:ind w:left="720" w:hanging="360"/>
      </w:pPr>
      <w:rPr>
        <w:rFonts w:ascii="Wingdings" w:eastAsia="Wingdings" w:hAnsi="Wingdings" w:cs="Wingdings" w:hint="default"/>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0E2D81"/>
    <w:multiLevelType w:val="hybridMultilevel"/>
    <w:tmpl w:val="CB226792"/>
    <w:lvl w:ilvl="0" w:tplc="B4C4457C">
      <w:numFmt w:val="bullet"/>
      <w:lvlText w:val=""/>
      <w:lvlJc w:val="left"/>
      <w:pPr>
        <w:ind w:left="558" w:hanging="284"/>
      </w:pPr>
      <w:rPr>
        <w:rFonts w:ascii="Symbol" w:eastAsia="Symbol" w:hAnsi="Symbol" w:cs="Symbol" w:hint="default"/>
        <w:w w:val="100"/>
        <w:sz w:val="22"/>
        <w:szCs w:val="22"/>
        <w:lang w:val="en-US" w:eastAsia="en-US" w:bidi="ar-SA"/>
      </w:rPr>
    </w:lvl>
    <w:lvl w:ilvl="1" w:tplc="FEA0D890">
      <w:numFmt w:val="bullet"/>
      <w:lvlText w:val="•"/>
      <w:lvlJc w:val="left"/>
      <w:pPr>
        <w:ind w:left="814" w:hanging="284"/>
      </w:pPr>
      <w:rPr>
        <w:rFonts w:hint="default"/>
        <w:lang w:val="en-US" w:eastAsia="en-US" w:bidi="ar-SA"/>
      </w:rPr>
    </w:lvl>
    <w:lvl w:ilvl="2" w:tplc="A8B26446">
      <w:numFmt w:val="bullet"/>
      <w:lvlText w:val="•"/>
      <w:lvlJc w:val="left"/>
      <w:pPr>
        <w:ind w:left="1069" w:hanging="284"/>
      </w:pPr>
      <w:rPr>
        <w:rFonts w:hint="default"/>
        <w:lang w:val="en-US" w:eastAsia="en-US" w:bidi="ar-SA"/>
      </w:rPr>
    </w:lvl>
    <w:lvl w:ilvl="3" w:tplc="39528854">
      <w:numFmt w:val="bullet"/>
      <w:lvlText w:val="•"/>
      <w:lvlJc w:val="left"/>
      <w:pPr>
        <w:ind w:left="1323" w:hanging="284"/>
      </w:pPr>
      <w:rPr>
        <w:rFonts w:hint="default"/>
        <w:lang w:val="en-US" w:eastAsia="en-US" w:bidi="ar-SA"/>
      </w:rPr>
    </w:lvl>
    <w:lvl w:ilvl="4" w:tplc="62165290">
      <w:numFmt w:val="bullet"/>
      <w:lvlText w:val="•"/>
      <w:lvlJc w:val="left"/>
      <w:pPr>
        <w:ind w:left="1578" w:hanging="284"/>
      </w:pPr>
      <w:rPr>
        <w:rFonts w:hint="default"/>
        <w:lang w:val="en-US" w:eastAsia="en-US" w:bidi="ar-SA"/>
      </w:rPr>
    </w:lvl>
    <w:lvl w:ilvl="5" w:tplc="B872A314">
      <w:numFmt w:val="bullet"/>
      <w:lvlText w:val="•"/>
      <w:lvlJc w:val="left"/>
      <w:pPr>
        <w:ind w:left="1833" w:hanging="284"/>
      </w:pPr>
      <w:rPr>
        <w:rFonts w:hint="default"/>
        <w:lang w:val="en-US" w:eastAsia="en-US" w:bidi="ar-SA"/>
      </w:rPr>
    </w:lvl>
    <w:lvl w:ilvl="6" w:tplc="E5685062">
      <w:numFmt w:val="bullet"/>
      <w:lvlText w:val="•"/>
      <w:lvlJc w:val="left"/>
      <w:pPr>
        <w:ind w:left="2087" w:hanging="284"/>
      </w:pPr>
      <w:rPr>
        <w:rFonts w:hint="default"/>
        <w:lang w:val="en-US" w:eastAsia="en-US" w:bidi="ar-SA"/>
      </w:rPr>
    </w:lvl>
    <w:lvl w:ilvl="7" w:tplc="3050E4E2">
      <w:numFmt w:val="bullet"/>
      <w:lvlText w:val="•"/>
      <w:lvlJc w:val="left"/>
      <w:pPr>
        <w:ind w:left="2342" w:hanging="284"/>
      </w:pPr>
      <w:rPr>
        <w:rFonts w:hint="default"/>
        <w:lang w:val="en-US" w:eastAsia="en-US" w:bidi="ar-SA"/>
      </w:rPr>
    </w:lvl>
    <w:lvl w:ilvl="8" w:tplc="459CD30A">
      <w:numFmt w:val="bullet"/>
      <w:lvlText w:val="•"/>
      <w:lvlJc w:val="left"/>
      <w:pPr>
        <w:ind w:left="2596" w:hanging="284"/>
      </w:pPr>
      <w:rPr>
        <w:rFonts w:hint="default"/>
        <w:lang w:val="en-US" w:eastAsia="en-US" w:bidi="ar-SA"/>
      </w:rPr>
    </w:lvl>
  </w:abstractNum>
  <w:abstractNum w:abstractNumId="23">
    <w:nsid w:val="5F8D675C"/>
    <w:multiLevelType w:val="hybridMultilevel"/>
    <w:tmpl w:val="169CD86E"/>
    <w:lvl w:ilvl="0" w:tplc="8B8870B4">
      <w:numFmt w:val="bullet"/>
      <w:lvlText w:val=""/>
      <w:lvlJc w:val="left"/>
      <w:pPr>
        <w:ind w:left="503" w:hanging="396"/>
      </w:pPr>
      <w:rPr>
        <w:rFonts w:ascii="Wingdings" w:eastAsia="Wingdings" w:hAnsi="Wingdings" w:cs="Wingdings" w:hint="default"/>
        <w:w w:val="100"/>
        <w:sz w:val="22"/>
        <w:szCs w:val="22"/>
        <w:lang w:val="en-US" w:eastAsia="en-US" w:bidi="ar-SA"/>
      </w:rPr>
    </w:lvl>
    <w:lvl w:ilvl="1" w:tplc="31503284">
      <w:numFmt w:val="bullet"/>
      <w:lvlText w:val="•"/>
      <w:lvlJc w:val="left"/>
      <w:pPr>
        <w:ind w:left="760" w:hanging="396"/>
      </w:pPr>
      <w:rPr>
        <w:rFonts w:hint="default"/>
        <w:lang w:val="en-US" w:eastAsia="en-US" w:bidi="ar-SA"/>
      </w:rPr>
    </w:lvl>
    <w:lvl w:ilvl="2" w:tplc="3BB60870">
      <w:numFmt w:val="bullet"/>
      <w:lvlText w:val="•"/>
      <w:lvlJc w:val="left"/>
      <w:pPr>
        <w:ind w:left="1021" w:hanging="396"/>
      </w:pPr>
      <w:rPr>
        <w:rFonts w:hint="default"/>
        <w:lang w:val="en-US" w:eastAsia="en-US" w:bidi="ar-SA"/>
      </w:rPr>
    </w:lvl>
    <w:lvl w:ilvl="3" w:tplc="F8264C9C">
      <w:numFmt w:val="bullet"/>
      <w:lvlText w:val="•"/>
      <w:lvlJc w:val="left"/>
      <w:pPr>
        <w:ind w:left="1281" w:hanging="396"/>
      </w:pPr>
      <w:rPr>
        <w:rFonts w:hint="default"/>
        <w:lang w:val="en-US" w:eastAsia="en-US" w:bidi="ar-SA"/>
      </w:rPr>
    </w:lvl>
    <w:lvl w:ilvl="4" w:tplc="4DAE8A1A">
      <w:numFmt w:val="bullet"/>
      <w:lvlText w:val="•"/>
      <w:lvlJc w:val="left"/>
      <w:pPr>
        <w:ind w:left="1542" w:hanging="396"/>
      </w:pPr>
      <w:rPr>
        <w:rFonts w:hint="default"/>
        <w:lang w:val="en-US" w:eastAsia="en-US" w:bidi="ar-SA"/>
      </w:rPr>
    </w:lvl>
    <w:lvl w:ilvl="5" w:tplc="84202DAA">
      <w:numFmt w:val="bullet"/>
      <w:lvlText w:val="•"/>
      <w:lvlJc w:val="left"/>
      <w:pPr>
        <w:ind w:left="1803" w:hanging="396"/>
      </w:pPr>
      <w:rPr>
        <w:rFonts w:hint="default"/>
        <w:lang w:val="en-US" w:eastAsia="en-US" w:bidi="ar-SA"/>
      </w:rPr>
    </w:lvl>
    <w:lvl w:ilvl="6" w:tplc="3F8A0AD8">
      <w:numFmt w:val="bullet"/>
      <w:lvlText w:val="•"/>
      <w:lvlJc w:val="left"/>
      <w:pPr>
        <w:ind w:left="2063" w:hanging="396"/>
      </w:pPr>
      <w:rPr>
        <w:rFonts w:hint="default"/>
        <w:lang w:val="en-US" w:eastAsia="en-US" w:bidi="ar-SA"/>
      </w:rPr>
    </w:lvl>
    <w:lvl w:ilvl="7" w:tplc="64A6C586">
      <w:numFmt w:val="bullet"/>
      <w:lvlText w:val="•"/>
      <w:lvlJc w:val="left"/>
      <w:pPr>
        <w:ind w:left="2324" w:hanging="396"/>
      </w:pPr>
      <w:rPr>
        <w:rFonts w:hint="default"/>
        <w:lang w:val="en-US" w:eastAsia="en-US" w:bidi="ar-SA"/>
      </w:rPr>
    </w:lvl>
    <w:lvl w:ilvl="8" w:tplc="3372F784">
      <w:numFmt w:val="bullet"/>
      <w:lvlText w:val="•"/>
      <w:lvlJc w:val="left"/>
      <w:pPr>
        <w:ind w:left="2584" w:hanging="396"/>
      </w:pPr>
      <w:rPr>
        <w:rFonts w:hint="default"/>
        <w:lang w:val="en-US" w:eastAsia="en-US" w:bidi="ar-SA"/>
      </w:rPr>
    </w:lvl>
  </w:abstractNum>
  <w:abstractNum w:abstractNumId="24">
    <w:nsid w:val="60BA103B"/>
    <w:multiLevelType w:val="hybridMultilevel"/>
    <w:tmpl w:val="39C0DE50"/>
    <w:lvl w:ilvl="0" w:tplc="CCCE7B3A">
      <w:numFmt w:val="bullet"/>
      <w:lvlText w:val=""/>
      <w:lvlJc w:val="left"/>
      <w:pPr>
        <w:ind w:left="360" w:hanging="360"/>
      </w:pPr>
      <w:rPr>
        <w:rFonts w:ascii="Wingdings" w:eastAsia="Wingdings" w:hAnsi="Wingdings" w:cs="Wingdings" w:hint="default"/>
        <w:w w:val="99"/>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227492C"/>
    <w:multiLevelType w:val="hybridMultilevel"/>
    <w:tmpl w:val="AE14B95E"/>
    <w:lvl w:ilvl="0" w:tplc="D8304E62">
      <w:numFmt w:val="bullet"/>
      <w:lvlText w:val=""/>
      <w:lvlJc w:val="left"/>
      <w:pPr>
        <w:ind w:left="894" w:hanging="360"/>
      </w:pPr>
      <w:rPr>
        <w:rFonts w:ascii="Symbol" w:eastAsia="Symbol" w:hAnsi="Symbol" w:cs="Symbol" w:hint="default"/>
        <w:w w:val="100"/>
        <w:sz w:val="22"/>
        <w:szCs w:val="22"/>
        <w:lang w:val="en-US" w:eastAsia="en-US" w:bidi="ar-SA"/>
      </w:rPr>
    </w:lvl>
    <w:lvl w:ilvl="1" w:tplc="618E17E0">
      <w:numFmt w:val="bullet"/>
      <w:lvlText w:val="•"/>
      <w:lvlJc w:val="left"/>
      <w:pPr>
        <w:ind w:left="1120" w:hanging="360"/>
      </w:pPr>
      <w:rPr>
        <w:rFonts w:hint="default"/>
        <w:lang w:val="en-US" w:eastAsia="en-US" w:bidi="ar-SA"/>
      </w:rPr>
    </w:lvl>
    <w:lvl w:ilvl="2" w:tplc="7480BFE0">
      <w:numFmt w:val="bullet"/>
      <w:lvlText w:val="•"/>
      <w:lvlJc w:val="left"/>
      <w:pPr>
        <w:ind w:left="1341" w:hanging="360"/>
      </w:pPr>
      <w:rPr>
        <w:rFonts w:hint="default"/>
        <w:lang w:val="en-US" w:eastAsia="en-US" w:bidi="ar-SA"/>
      </w:rPr>
    </w:lvl>
    <w:lvl w:ilvl="3" w:tplc="6F1ABD58">
      <w:numFmt w:val="bullet"/>
      <w:lvlText w:val="•"/>
      <w:lvlJc w:val="left"/>
      <w:pPr>
        <w:ind w:left="1561" w:hanging="360"/>
      </w:pPr>
      <w:rPr>
        <w:rFonts w:hint="default"/>
        <w:lang w:val="en-US" w:eastAsia="en-US" w:bidi="ar-SA"/>
      </w:rPr>
    </w:lvl>
    <w:lvl w:ilvl="4" w:tplc="6AEC783E">
      <w:numFmt w:val="bullet"/>
      <w:lvlText w:val="•"/>
      <w:lvlJc w:val="left"/>
      <w:pPr>
        <w:ind w:left="1782" w:hanging="360"/>
      </w:pPr>
      <w:rPr>
        <w:rFonts w:hint="default"/>
        <w:lang w:val="en-US" w:eastAsia="en-US" w:bidi="ar-SA"/>
      </w:rPr>
    </w:lvl>
    <w:lvl w:ilvl="5" w:tplc="6EB6B85A">
      <w:numFmt w:val="bullet"/>
      <w:lvlText w:val="•"/>
      <w:lvlJc w:val="left"/>
      <w:pPr>
        <w:ind w:left="2003" w:hanging="360"/>
      </w:pPr>
      <w:rPr>
        <w:rFonts w:hint="default"/>
        <w:lang w:val="en-US" w:eastAsia="en-US" w:bidi="ar-SA"/>
      </w:rPr>
    </w:lvl>
    <w:lvl w:ilvl="6" w:tplc="EDF6B27E">
      <w:numFmt w:val="bullet"/>
      <w:lvlText w:val="•"/>
      <w:lvlJc w:val="left"/>
      <w:pPr>
        <w:ind w:left="2223" w:hanging="360"/>
      </w:pPr>
      <w:rPr>
        <w:rFonts w:hint="default"/>
        <w:lang w:val="en-US" w:eastAsia="en-US" w:bidi="ar-SA"/>
      </w:rPr>
    </w:lvl>
    <w:lvl w:ilvl="7" w:tplc="24CAA780">
      <w:numFmt w:val="bullet"/>
      <w:lvlText w:val="•"/>
      <w:lvlJc w:val="left"/>
      <w:pPr>
        <w:ind w:left="2444" w:hanging="360"/>
      </w:pPr>
      <w:rPr>
        <w:rFonts w:hint="default"/>
        <w:lang w:val="en-US" w:eastAsia="en-US" w:bidi="ar-SA"/>
      </w:rPr>
    </w:lvl>
    <w:lvl w:ilvl="8" w:tplc="48D20F3E">
      <w:numFmt w:val="bullet"/>
      <w:lvlText w:val="•"/>
      <w:lvlJc w:val="left"/>
      <w:pPr>
        <w:ind w:left="2664" w:hanging="360"/>
      </w:pPr>
      <w:rPr>
        <w:rFonts w:hint="default"/>
        <w:lang w:val="en-US" w:eastAsia="en-US" w:bidi="ar-SA"/>
      </w:rPr>
    </w:lvl>
  </w:abstractNum>
  <w:abstractNum w:abstractNumId="26">
    <w:nsid w:val="625F10EE"/>
    <w:multiLevelType w:val="hybridMultilevel"/>
    <w:tmpl w:val="81B8F61E"/>
    <w:lvl w:ilvl="0" w:tplc="9496E0AA">
      <w:numFmt w:val="bullet"/>
      <w:lvlText w:val=""/>
      <w:lvlJc w:val="left"/>
      <w:pPr>
        <w:ind w:left="421" w:hanging="360"/>
      </w:pPr>
      <w:rPr>
        <w:rFonts w:ascii="Wingdings" w:eastAsia="Wingdings" w:hAnsi="Wingdings" w:cs="Wingdings" w:hint="default"/>
        <w:w w:val="99"/>
        <w:sz w:val="20"/>
        <w:szCs w:val="20"/>
        <w:lang w:val="en-US" w:eastAsia="en-US" w:bidi="ar-SA"/>
      </w:rPr>
    </w:lvl>
    <w:lvl w:ilvl="1" w:tplc="641264EE">
      <w:numFmt w:val="bullet"/>
      <w:lvlText w:val="•"/>
      <w:lvlJc w:val="left"/>
      <w:pPr>
        <w:ind w:left="640" w:hanging="360"/>
      </w:pPr>
      <w:rPr>
        <w:rFonts w:hint="default"/>
        <w:lang w:val="en-US" w:eastAsia="en-US" w:bidi="ar-SA"/>
      </w:rPr>
    </w:lvl>
    <w:lvl w:ilvl="2" w:tplc="9A7AD8EE">
      <w:numFmt w:val="bullet"/>
      <w:lvlText w:val="•"/>
      <w:lvlJc w:val="left"/>
      <w:pPr>
        <w:ind w:left="861" w:hanging="360"/>
      </w:pPr>
      <w:rPr>
        <w:rFonts w:hint="default"/>
        <w:lang w:val="en-US" w:eastAsia="en-US" w:bidi="ar-SA"/>
      </w:rPr>
    </w:lvl>
    <w:lvl w:ilvl="3" w:tplc="BA9803CA">
      <w:numFmt w:val="bullet"/>
      <w:lvlText w:val="•"/>
      <w:lvlJc w:val="left"/>
      <w:pPr>
        <w:ind w:left="1082" w:hanging="360"/>
      </w:pPr>
      <w:rPr>
        <w:rFonts w:hint="default"/>
        <w:lang w:val="en-US" w:eastAsia="en-US" w:bidi="ar-SA"/>
      </w:rPr>
    </w:lvl>
    <w:lvl w:ilvl="4" w:tplc="BEDECBA2">
      <w:numFmt w:val="bullet"/>
      <w:lvlText w:val="•"/>
      <w:lvlJc w:val="left"/>
      <w:pPr>
        <w:ind w:left="1303" w:hanging="360"/>
      </w:pPr>
      <w:rPr>
        <w:rFonts w:hint="default"/>
        <w:lang w:val="en-US" w:eastAsia="en-US" w:bidi="ar-SA"/>
      </w:rPr>
    </w:lvl>
    <w:lvl w:ilvl="5" w:tplc="BC5CB6D8">
      <w:numFmt w:val="bullet"/>
      <w:lvlText w:val="•"/>
      <w:lvlJc w:val="left"/>
      <w:pPr>
        <w:ind w:left="1524" w:hanging="360"/>
      </w:pPr>
      <w:rPr>
        <w:rFonts w:hint="default"/>
        <w:lang w:val="en-US" w:eastAsia="en-US" w:bidi="ar-SA"/>
      </w:rPr>
    </w:lvl>
    <w:lvl w:ilvl="6" w:tplc="11AA0AF6">
      <w:numFmt w:val="bullet"/>
      <w:lvlText w:val="•"/>
      <w:lvlJc w:val="left"/>
      <w:pPr>
        <w:ind w:left="1744" w:hanging="360"/>
      </w:pPr>
      <w:rPr>
        <w:rFonts w:hint="default"/>
        <w:lang w:val="en-US" w:eastAsia="en-US" w:bidi="ar-SA"/>
      </w:rPr>
    </w:lvl>
    <w:lvl w:ilvl="7" w:tplc="0302CB52">
      <w:numFmt w:val="bullet"/>
      <w:lvlText w:val="•"/>
      <w:lvlJc w:val="left"/>
      <w:pPr>
        <w:ind w:left="1965" w:hanging="360"/>
      </w:pPr>
      <w:rPr>
        <w:rFonts w:hint="default"/>
        <w:lang w:val="en-US" w:eastAsia="en-US" w:bidi="ar-SA"/>
      </w:rPr>
    </w:lvl>
    <w:lvl w:ilvl="8" w:tplc="8B4A32B2">
      <w:numFmt w:val="bullet"/>
      <w:lvlText w:val="•"/>
      <w:lvlJc w:val="left"/>
      <w:pPr>
        <w:ind w:left="2186" w:hanging="360"/>
      </w:pPr>
      <w:rPr>
        <w:rFonts w:hint="default"/>
        <w:lang w:val="en-US" w:eastAsia="en-US" w:bidi="ar-SA"/>
      </w:rPr>
    </w:lvl>
  </w:abstractNum>
  <w:abstractNum w:abstractNumId="27">
    <w:nsid w:val="65F2323C"/>
    <w:multiLevelType w:val="hybridMultilevel"/>
    <w:tmpl w:val="D076C242"/>
    <w:lvl w:ilvl="0" w:tplc="CCCE7B3A">
      <w:numFmt w:val="bullet"/>
      <w:lvlText w:val=""/>
      <w:lvlJc w:val="left"/>
      <w:pPr>
        <w:ind w:left="360" w:hanging="360"/>
      </w:pPr>
      <w:rPr>
        <w:rFonts w:ascii="Wingdings" w:eastAsia="Wingdings" w:hAnsi="Wingdings" w:cs="Wingdings" w:hint="default"/>
        <w:w w:val="99"/>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B7946D8"/>
    <w:multiLevelType w:val="hybridMultilevel"/>
    <w:tmpl w:val="0130E89E"/>
    <w:lvl w:ilvl="0" w:tplc="95ECFD84">
      <w:start w:val="2"/>
      <w:numFmt w:val="decimal"/>
      <w:lvlText w:val="%1."/>
      <w:lvlJc w:val="left"/>
      <w:pPr>
        <w:ind w:left="359" w:hanging="238"/>
        <w:jc w:val="left"/>
      </w:pPr>
      <w:rPr>
        <w:rFonts w:ascii="Times New Roman" w:eastAsia="Times New Roman" w:hAnsi="Times New Roman" w:cs="Times New Roman" w:hint="default"/>
        <w:b/>
        <w:bCs/>
        <w:w w:val="100"/>
        <w:sz w:val="22"/>
        <w:szCs w:val="22"/>
        <w:lang w:val="en-US" w:eastAsia="en-US" w:bidi="ar-SA"/>
      </w:rPr>
    </w:lvl>
    <w:lvl w:ilvl="1" w:tplc="34ECABC0">
      <w:numFmt w:val="bullet"/>
      <w:lvlText w:val=""/>
      <w:lvlJc w:val="left"/>
      <w:pPr>
        <w:ind w:left="558" w:hanging="284"/>
      </w:pPr>
      <w:rPr>
        <w:rFonts w:ascii="Symbol" w:eastAsia="Symbol" w:hAnsi="Symbol" w:cs="Symbol" w:hint="default"/>
        <w:w w:val="100"/>
        <w:sz w:val="22"/>
        <w:szCs w:val="22"/>
        <w:lang w:val="en-US" w:eastAsia="en-US" w:bidi="ar-SA"/>
      </w:rPr>
    </w:lvl>
    <w:lvl w:ilvl="2" w:tplc="5A1E8994">
      <w:numFmt w:val="bullet"/>
      <w:lvlText w:val="•"/>
      <w:lvlJc w:val="left"/>
      <w:pPr>
        <w:ind w:left="842" w:hanging="284"/>
      </w:pPr>
      <w:rPr>
        <w:rFonts w:hint="default"/>
        <w:lang w:val="en-US" w:eastAsia="en-US" w:bidi="ar-SA"/>
      </w:rPr>
    </w:lvl>
    <w:lvl w:ilvl="3" w:tplc="6A107570">
      <w:numFmt w:val="bullet"/>
      <w:lvlText w:val="•"/>
      <w:lvlJc w:val="left"/>
      <w:pPr>
        <w:ind w:left="1125" w:hanging="284"/>
      </w:pPr>
      <w:rPr>
        <w:rFonts w:hint="default"/>
        <w:lang w:val="en-US" w:eastAsia="en-US" w:bidi="ar-SA"/>
      </w:rPr>
    </w:lvl>
    <w:lvl w:ilvl="4" w:tplc="D340E080">
      <w:numFmt w:val="bullet"/>
      <w:lvlText w:val="•"/>
      <w:lvlJc w:val="left"/>
      <w:pPr>
        <w:ind w:left="1408" w:hanging="284"/>
      </w:pPr>
      <w:rPr>
        <w:rFonts w:hint="default"/>
        <w:lang w:val="en-US" w:eastAsia="en-US" w:bidi="ar-SA"/>
      </w:rPr>
    </w:lvl>
    <w:lvl w:ilvl="5" w:tplc="1116E3F4">
      <w:numFmt w:val="bullet"/>
      <w:lvlText w:val="•"/>
      <w:lvlJc w:val="left"/>
      <w:pPr>
        <w:ind w:left="1691" w:hanging="284"/>
      </w:pPr>
      <w:rPr>
        <w:rFonts w:hint="default"/>
        <w:lang w:val="en-US" w:eastAsia="en-US" w:bidi="ar-SA"/>
      </w:rPr>
    </w:lvl>
    <w:lvl w:ilvl="6" w:tplc="A1D26702">
      <w:numFmt w:val="bullet"/>
      <w:lvlText w:val="•"/>
      <w:lvlJc w:val="left"/>
      <w:pPr>
        <w:ind w:left="1974" w:hanging="284"/>
      </w:pPr>
      <w:rPr>
        <w:rFonts w:hint="default"/>
        <w:lang w:val="en-US" w:eastAsia="en-US" w:bidi="ar-SA"/>
      </w:rPr>
    </w:lvl>
    <w:lvl w:ilvl="7" w:tplc="59047B58">
      <w:numFmt w:val="bullet"/>
      <w:lvlText w:val="•"/>
      <w:lvlJc w:val="left"/>
      <w:pPr>
        <w:ind w:left="2257" w:hanging="284"/>
      </w:pPr>
      <w:rPr>
        <w:rFonts w:hint="default"/>
        <w:lang w:val="en-US" w:eastAsia="en-US" w:bidi="ar-SA"/>
      </w:rPr>
    </w:lvl>
    <w:lvl w:ilvl="8" w:tplc="45600598">
      <w:numFmt w:val="bullet"/>
      <w:lvlText w:val="•"/>
      <w:lvlJc w:val="left"/>
      <w:pPr>
        <w:ind w:left="2540" w:hanging="284"/>
      </w:pPr>
      <w:rPr>
        <w:rFonts w:hint="default"/>
        <w:lang w:val="en-US" w:eastAsia="en-US" w:bidi="ar-SA"/>
      </w:rPr>
    </w:lvl>
  </w:abstractNum>
  <w:abstractNum w:abstractNumId="29">
    <w:nsid w:val="6B980165"/>
    <w:multiLevelType w:val="hybridMultilevel"/>
    <w:tmpl w:val="71F6720E"/>
    <w:lvl w:ilvl="0" w:tplc="CCCE7B3A">
      <w:numFmt w:val="bullet"/>
      <w:lvlText w:val=""/>
      <w:lvlJc w:val="left"/>
      <w:pPr>
        <w:ind w:left="1027" w:hanging="360"/>
      </w:pPr>
      <w:rPr>
        <w:rFonts w:ascii="Wingdings" w:eastAsia="Wingdings" w:hAnsi="Wingdings" w:cs="Wingdings" w:hint="default"/>
        <w:w w:val="99"/>
        <w:sz w:val="20"/>
        <w:szCs w:val="20"/>
        <w:lang w:val="en-US" w:eastAsia="en-US" w:bidi="ar-SA"/>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30">
    <w:nsid w:val="6D7B4CEB"/>
    <w:multiLevelType w:val="hybridMultilevel"/>
    <w:tmpl w:val="905A6D76"/>
    <w:lvl w:ilvl="0" w:tplc="A2C01106">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541CA8"/>
    <w:multiLevelType w:val="hybridMultilevel"/>
    <w:tmpl w:val="F6500140"/>
    <w:lvl w:ilvl="0" w:tplc="9496E0AA">
      <w:numFmt w:val="bullet"/>
      <w:lvlText w:val=""/>
      <w:lvlJc w:val="left"/>
      <w:pPr>
        <w:ind w:left="501" w:hanging="360"/>
      </w:pPr>
      <w:rPr>
        <w:rFonts w:ascii="Wingdings" w:eastAsia="Wingdings" w:hAnsi="Wingdings" w:cs="Wingdings" w:hint="default"/>
        <w:w w:val="99"/>
        <w:sz w:val="20"/>
        <w:szCs w:val="20"/>
        <w:lang w:val="en-US" w:eastAsia="en-US" w:bidi="ar-SA"/>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2">
    <w:nsid w:val="7EEB4BC0"/>
    <w:multiLevelType w:val="hybridMultilevel"/>
    <w:tmpl w:val="8D58DB5A"/>
    <w:lvl w:ilvl="0" w:tplc="9496E0AA">
      <w:numFmt w:val="bullet"/>
      <w:lvlText w:val=""/>
      <w:lvlJc w:val="left"/>
      <w:pPr>
        <w:ind w:left="360" w:hanging="360"/>
      </w:pPr>
      <w:rPr>
        <w:rFonts w:ascii="Wingdings" w:eastAsia="Wingdings" w:hAnsi="Wingdings" w:cs="Wingdings" w:hint="default"/>
        <w:w w:val="99"/>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30"/>
  </w:num>
  <w:num w:numId="3">
    <w:abstractNumId w:val="23"/>
  </w:num>
  <w:num w:numId="4">
    <w:abstractNumId w:val="9"/>
  </w:num>
  <w:num w:numId="5">
    <w:abstractNumId w:val="5"/>
  </w:num>
  <w:num w:numId="6">
    <w:abstractNumId w:val="4"/>
  </w:num>
  <w:num w:numId="7">
    <w:abstractNumId w:val="6"/>
  </w:num>
  <w:num w:numId="8">
    <w:abstractNumId w:val="10"/>
  </w:num>
  <w:num w:numId="9">
    <w:abstractNumId w:val="26"/>
  </w:num>
  <w:num w:numId="10">
    <w:abstractNumId w:val="12"/>
  </w:num>
  <w:num w:numId="11">
    <w:abstractNumId w:val="28"/>
  </w:num>
  <w:num w:numId="12">
    <w:abstractNumId w:val="16"/>
  </w:num>
  <w:num w:numId="13">
    <w:abstractNumId w:val="22"/>
  </w:num>
  <w:num w:numId="14">
    <w:abstractNumId w:val="0"/>
  </w:num>
  <w:num w:numId="15">
    <w:abstractNumId w:val="15"/>
  </w:num>
  <w:num w:numId="16">
    <w:abstractNumId w:val="19"/>
  </w:num>
  <w:num w:numId="17">
    <w:abstractNumId w:val="25"/>
  </w:num>
  <w:num w:numId="18">
    <w:abstractNumId w:val="32"/>
  </w:num>
  <w:num w:numId="19">
    <w:abstractNumId w:val="11"/>
  </w:num>
  <w:num w:numId="20">
    <w:abstractNumId w:val="1"/>
  </w:num>
  <w:num w:numId="21">
    <w:abstractNumId w:val="31"/>
  </w:num>
  <w:num w:numId="22">
    <w:abstractNumId w:val="2"/>
  </w:num>
  <w:num w:numId="23">
    <w:abstractNumId w:val="21"/>
  </w:num>
  <w:num w:numId="24">
    <w:abstractNumId w:val="7"/>
  </w:num>
  <w:num w:numId="25">
    <w:abstractNumId w:val="8"/>
  </w:num>
  <w:num w:numId="26">
    <w:abstractNumId w:val="18"/>
  </w:num>
  <w:num w:numId="27">
    <w:abstractNumId w:val="20"/>
  </w:num>
  <w:num w:numId="28">
    <w:abstractNumId w:val="27"/>
  </w:num>
  <w:num w:numId="29">
    <w:abstractNumId w:val="24"/>
  </w:num>
  <w:num w:numId="30">
    <w:abstractNumId w:val="29"/>
  </w:num>
  <w:num w:numId="31">
    <w:abstractNumId w:val="3"/>
  </w:num>
  <w:num w:numId="32">
    <w:abstractNumId w:val="1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BE6"/>
    <w:rsid w:val="00063911"/>
    <w:rsid w:val="0007037E"/>
    <w:rsid w:val="00090FD6"/>
    <w:rsid w:val="000C620C"/>
    <w:rsid w:val="000D009A"/>
    <w:rsid w:val="000E20BD"/>
    <w:rsid w:val="001037DA"/>
    <w:rsid w:val="00154162"/>
    <w:rsid w:val="0017210B"/>
    <w:rsid w:val="001920AD"/>
    <w:rsid w:val="0019492E"/>
    <w:rsid w:val="001A29D8"/>
    <w:rsid w:val="001D486B"/>
    <w:rsid w:val="001D69FA"/>
    <w:rsid w:val="00200878"/>
    <w:rsid w:val="002030EC"/>
    <w:rsid w:val="0020523A"/>
    <w:rsid w:val="002161CE"/>
    <w:rsid w:val="00266F90"/>
    <w:rsid w:val="00267421"/>
    <w:rsid w:val="00274BE6"/>
    <w:rsid w:val="00284130"/>
    <w:rsid w:val="0029497E"/>
    <w:rsid w:val="002A1BBB"/>
    <w:rsid w:val="002B346E"/>
    <w:rsid w:val="002E5D23"/>
    <w:rsid w:val="003333FB"/>
    <w:rsid w:val="00333C2C"/>
    <w:rsid w:val="00342DF6"/>
    <w:rsid w:val="00357C4A"/>
    <w:rsid w:val="00361107"/>
    <w:rsid w:val="00367D4E"/>
    <w:rsid w:val="003842FA"/>
    <w:rsid w:val="003A7E7B"/>
    <w:rsid w:val="003E21EE"/>
    <w:rsid w:val="0042530D"/>
    <w:rsid w:val="00434D33"/>
    <w:rsid w:val="00443A4E"/>
    <w:rsid w:val="00443EF4"/>
    <w:rsid w:val="00461375"/>
    <w:rsid w:val="004625DC"/>
    <w:rsid w:val="00472F54"/>
    <w:rsid w:val="004B02BA"/>
    <w:rsid w:val="004B5100"/>
    <w:rsid w:val="004E2E9A"/>
    <w:rsid w:val="004E560C"/>
    <w:rsid w:val="004F670A"/>
    <w:rsid w:val="00531A2A"/>
    <w:rsid w:val="00535069"/>
    <w:rsid w:val="0054590C"/>
    <w:rsid w:val="00570052"/>
    <w:rsid w:val="00570585"/>
    <w:rsid w:val="0059047A"/>
    <w:rsid w:val="00592259"/>
    <w:rsid w:val="005B6A3F"/>
    <w:rsid w:val="005E12AC"/>
    <w:rsid w:val="005F78CE"/>
    <w:rsid w:val="00612040"/>
    <w:rsid w:val="00631D77"/>
    <w:rsid w:val="006474B9"/>
    <w:rsid w:val="006510DE"/>
    <w:rsid w:val="00665A77"/>
    <w:rsid w:val="00665D87"/>
    <w:rsid w:val="006745BE"/>
    <w:rsid w:val="00682D64"/>
    <w:rsid w:val="006B5267"/>
    <w:rsid w:val="006F477D"/>
    <w:rsid w:val="00726720"/>
    <w:rsid w:val="00726CB0"/>
    <w:rsid w:val="00754618"/>
    <w:rsid w:val="00763DC7"/>
    <w:rsid w:val="00767ADF"/>
    <w:rsid w:val="007950B9"/>
    <w:rsid w:val="007B15E7"/>
    <w:rsid w:val="007B5EBE"/>
    <w:rsid w:val="00800654"/>
    <w:rsid w:val="008076F5"/>
    <w:rsid w:val="008153B4"/>
    <w:rsid w:val="00824D1D"/>
    <w:rsid w:val="00847C2D"/>
    <w:rsid w:val="00850044"/>
    <w:rsid w:val="00870B64"/>
    <w:rsid w:val="00897C9F"/>
    <w:rsid w:val="008A12F6"/>
    <w:rsid w:val="008C6615"/>
    <w:rsid w:val="008D30F0"/>
    <w:rsid w:val="008D5E98"/>
    <w:rsid w:val="008E16BA"/>
    <w:rsid w:val="008E7CBD"/>
    <w:rsid w:val="0090082A"/>
    <w:rsid w:val="009208F2"/>
    <w:rsid w:val="00972F5B"/>
    <w:rsid w:val="009809A4"/>
    <w:rsid w:val="0098516A"/>
    <w:rsid w:val="00986D52"/>
    <w:rsid w:val="009C28D0"/>
    <w:rsid w:val="009E025D"/>
    <w:rsid w:val="009E7DDB"/>
    <w:rsid w:val="009F085C"/>
    <w:rsid w:val="00A1438B"/>
    <w:rsid w:val="00A224E9"/>
    <w:rsid w:val="00A501EA"/>
    <w:rsid w:val="00A5270B"/>
    <w:rsid w:val="00A637C0"/>
    <w:rsid w:val="00A66EBE"/>
    <w:rsid w:val="00A713FF"/>
    <w:rsid w:val="00A833CD"/>
    <w:rsid w:val="00A86099"/>
    <w:rsid w:val="00A87C52"/>
    <w:rsid w:val="00AB1CEA"/>
    <w:rsid w:val="00AE2A91"/>
    <w:rsid w:val="00B17912"/>
    <w:rsid w:val="00B33D15"/>
    <w:rsid w:val="00B359FC"/>
    <w:rsid w:val="00B36FCD"/>
    <w:rsid w:val="00B40760"/>
    <w:rsid w:val="00B47ABC"/>
    <w:rsid w:val="00B6046C"/>
    <w:rsid w:val="00B67864"/>
    <w:rsid w:val="00BA2F58"/>
    <w:rsid w:val="00BB51D1"/>
    <w:rsid w:val="00BD2160"/>
    <w:rsid w:val="00BD7F7C"/>
    <w:rsid w:val="00C015ED"/>
    <w:rsid w:val="00C40B9B"/>
    <w:rsid w:val="00CC02D2"/>
    <w:rsid w:val="00CE3058"/>
    <w:rsid w:val="00CF0758"/>
    <w:rsid w:val="00CF67D6"/>
    <w:rsid w:val="00D22D45"/>
    <w:rsid w:val="00D61729"/>
    <w:rsid w:val="00D71329"/>
    <w:rsid w:val="00D74B4E"/>
    <w:rsid w:val="00D76DCD"/>
    <w:rsid w:val="00D837CD"/>
    <w:rsid w:val="00D84D6A"/>
    <w:rsid w:val="00D85C73"/>
    <w:rsid w:val="00D85CA7"/>
    <w:rsid w:val="00DA5FFD"/>
    <w:rsid w:val="00DB5208"/>
    <w:rsid w:val="00DE4293"/>
    <w:rsid w:val="00DF5011"/>
    <w:rsid w:val="00E03442"/>
    <w:rsid w:val="00E172AD"/>
    <w:rsid w:val="00E26A4E"/>
    <w:rsid w:val="00E57DC9"/>
    <w:rsid w:val="00E747D9"/>
    <w:rsid w:val="00E779D1"/>
    <w:rsid w:val="00E95E06"/>
    <w:rsid w:val="00E97A73"/>
    <w:rsid w:val="00EC67CC"/>
    <w:rsid w:val="00EE5F9D"/>
    <w:rsid w:val="00EE7AA4"/>
    <w:rsid w:val="00F07184"/>
    <w:rsid w:val="00F23A5F"/>
    <w:rsid w:val="00F2689F"/>
    <w:rsid w:val="00F36594"/>
    <w:rsid w:val="00F72CB6"/>
    <w:rsid w:val="00F73E82"/>
    <w:rsid w:val="00F75224"/>
    <w:rsid w:val="00F8701D"/>
    <w:rsid w:val="00F95BBB"/>
    <w:rsid w:val="00F97047"/>
    <w:rsid w:val="00FA5567"/>
    <w:rsid w:val="00FD3626"/>
    <w:rsid w:val="00FD3D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70" w:type="dxa"/>
        <w:bottom w:w="0" w:type="dxa"/>
        <w:right w:w="70" w:type="dxa"/>
      </w:tblCellMar>
    </w:tblPr>
  </w:style>
  <w:style w:type="character" w:styleId="Hyperlink">
    <w:name w:val="Hyperlink"/>
    <w:basedOn w:val="DefaultParagraphFont"/>
    <w:uiPriority w:val="99"/>
    <w:unhideWhenUsed/>
    <w:rsid w:val="008076F5"/>
    <w:rPr>
      <w:color w:val="0563C1" w:themeColor="hyperlink"/>
      <w:u w:val="single"/>
    </w:rPr>
  </w:style>
  <w:style w:type="paragraph" w:styleId="BalloonText">
    <w:name w:val="Balloon Text"/>
    <w:basedOn w:val="Normal"/>
    <w:link w:val="BalloonTextChar"/>
    <w:uiPriority w:val="99"/>
    <w:semiHidden/>
    <w:unhideWhenUsed/>
    <w:rsid w:val="008076F5"/>
    <w:rPr>
      <w:rFonts w:ascii="Tahoma" w:hAnsi="Tahoma" w:cs="Tahoma"/>
      <w:sz w:val="16"/>
      <w:szCs w:val="16"/>
    </w:rPr>
  </w:style>
  <w:style w:type="character" w:customStyle="1" w:styleId="BalloonTextChar">
    <w:name w:val="Balloon Text Char"/>
    <w:basedOn w:val="DefaultParagraphFont"/>
    <w:link w:val="BalloonText"/>
    <w:uiPriority w:val="99"/>
    <w:semiHidden/>
    <w:rsid w:val="008076F5"/>
    <w:rPr>
      <w:rFonts w:ascii="Tahoma" w:hAnsi="Tahoma" w:cs="Tahoma"/>
      <w:sz w:val="16"/>
      <w:szCs w:val="16"/>
    </w:rPr>
  </w:style>
  <w:style w:type="paragraph" w:styleId="ListParagraph">
    <w:name w:val="List Paragraph"/>
    <w:basedOn w:val="Normal"/>
    <w:uiPriority w:val="34"/>
    <w:qFormat/>
    <w:rsid w:val="00800654"/>
    <w:pPr>
      <w:ind w:left="720"/>
      <w:contextualSpacing/>
    </w:pPr>
  </w:style>
  <w:style w:type="paragraph" w:customStyle="1" w:styleId="Default">
    <w:name w:val="Default"/>
    <w:rsid w:val="00800654"/>
    <w:pPr>
      <w:autoSpaceDE w:val="0"/>
      <w:autoSpaceDN w:val="0"/>
      <w:adjustRightInd w:val="0"/>
    </w:pPr>
    <w:rPr>
      <w:sz w:val="24"/>
      <w:szCs w:val="24"/>
      <w:lang w:val="en-US"/>
    </w:rPr>
  </w:style>
  <w:style w:type="paragraph" w:customStyle="1" w:styleId="TableParagraph">
    <w:name w:val="Table Paragraph"/>
    <w:basedOn w:val="Normal"/>
    <w:uiPriority w:val="1"/>
    <w:qFormat/>
    <w:rsid w:val="006745BE"/>
    <w:pPr>
      <w:widowControl w:val="0"/>
      <w:autoSpaceDE w:val="0"/>
      <w:autoSpaceDN w:val="0"/>
    </w:pPr>
    <w:rPr>
      <w:color w:val="auto"/>
      <w:sz w:val="22"/>
      <w:szCs w:val="22"/>
      <w:lang w:val="en-US" w:eastAsia="en-US"/>
    </w:rPr>
  </w:style>
  <w:style w:type="table" w:styleId="TableGrid">
    <w:name w:val="Table Grid"/>
    <w:basedOn w:val="TableNormal"/>
    <w:uiPriority w:val="59"/>
    <w:rsid w:val="00E57DC9"/>
    <w:rPr>
      <w:rFonts w:asciiTheme="minorHAnsi" w:eastAsiaTheme="minorEastAsia" w:hAnsiTheme="minorHAnsi" w:cstheme="minorBidi"/>
      <w:color w:val="auto"/>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47ABC"/>
    <w:rPr>
      <w:b/>
      <w:sz w:val="48"/>
      <w:szCs w:val="48"/>
    </w:rPr>
  </w:style>
  <w:style w:type="paragraph" w:styleId="Bibliography">
    <w:name w:val="Bibliography"/>
    <w:basedOn w:val="Normal"/>
    <w:next w:val="Normal"/>
    <w:uiPriority w:val="37"/>
    <w:unhideWhenUsed/>
    <w:rsid w:val="00B47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70" w:type="dxa"/>
        <w:bottom w:w="0" w:type="dxa"/>
        <w:right w:w="70" w:type="dxa"/>
      </w:tblCellMar>
    </w:tblPr>
  </w:style>
  <w:style w:type="character" w:styleId="Hyperlink">
    <w:name w:val="Hyperlink"/>
    <w:basedOn w:val="DefaultParagraphFont"/>
    <w:uiPriority w:val="99"/>
    <w:unhideWhenUsed/>
    <w:rsid w:val="008076F5"/>
    <w:rPr>
      <w:color w:val="0563C1" w:themeColor="hyperlink"/>
      <w:u w:val="single"/>
    </w:rPr>
  </w:style>
  <w:style w:type="paragraph" w:styleId="BalloonText">
    <w:name w:val="Balloon Text"/>
    <w:basedOn w:val="Normal"/>
    <w:link w:val="BalloonTextChar"/>
    <w:uiPriority w:val="99"/>
    <w:semiHidden/>
    <w:unhideWhenUsed/>
    <w:rsid w:val="008076F5"/>
    <w:rPr>
      <w:rFonts w:ascii="Tahoma" w:hAnsi="Tahoma" w:cs="Tahoma"/>
      <w:sz w:val="16"/>
      <w:szCs w:val="16"/>
    </w:rPr>
  </w:style>
  <w:style w:type="character" w:customStyle="1" w:styleId="BalloonTextChar">
    <w:name w:val="Balloon Text Char"/>
    <w:basedOn w:val="DefaultParagraphFont"/>
    <w:link w:val="BalloonText"/>
    <w:uiPriority w:val="99"/>
    <w:semiHidden/>
    <w:rsid w:val="008076F5"/>
    <w:rPr>
      <w:rFonts w:ascii="Tahoma" w:hAnsi="Tahoma" w:cs="Tahoma"/>
      <w:sz w:val="16"/>
      <w:szCs w:val="16"/>
    </w:rPr>
  </w:style>
  <w:style w:type="paragraph" w:styleId="ListParagraph">
    <w:name w:val="List Paragraph"/>
    <w:basedOn w:val="Normal"/>
    <w:uiPriority w:val="34"/>
    <w:qFormat/>
    <w:rsid w:val="00800654"/>
    <w:pPr>
      <w:ind w:left="720"/>
      <w:contextualSpacing/>
    </w:pPr>
  </w:style>
  <w:style w:type="paragraph" w:customStyle="1" w:styleId="Default">
    <w:name w:val="Default"/>
    <w:rsid w:val="00800654"/>
    <w:pPr>
      <w:autoSpaceDE w:val="0"/>
      <w:autoSpaceDN w:val="0"/>
      <w:adjustRightInd w:val="0"/>
    </w:pPr>
    <w:rPr>
      <w:sz w:val="24"/>
      <w:szCs w:val="24"/>
      <w:lang w:val="en-US"/>
    </w:rPr>
  </w:style>
  <w:style w:type="paragraph" w:customStyle="1" w:styleId="TableParagraph">
    <w:name w:val="Table Paragraph"/>
    <w:basedOn w:val="Normal"/>
    <w:uiPriority w:val="1"/>
    <w:qFormat/>
    <w:rsid w:val="006745BE"/>
    <w:pPr>
      <w:widowControl w:val="0"/>
      <w:autoSpaceDE w:val="0"/>
      <w:autoSpaceDN w:val="0"/>
    </w:pPr>
    <w:rPr>
      <w:color w:val="auto"/>
      <w:sz w:val="22"/>
      <w:szCs w:val="22"/>
      <w:lang w:val="en-US" w:eastAsia="en-US"/>
    </w:rPr>
  </w:style>
  <w:style w:type="table" w:styleId="TableGrid">
    <w:name w:val="Table Grid"/>
    <w:basedOn w:val="TableNormal"/>
    <w:uiPriority w:val="59"/>
    <w:rsid w:val="00E57DC9"/>
    <w:rPr>
      <w:rFonts w:asciiTheme="minorHAnsi" w:eastAsiaTheme="minorEastAsia" w:hAnsiTheme="minorHAnsi" w:cstheme="minorBidi"/>
      <w:color w:val="auto"/>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47ABC"/>
    <w:rPr>
      <w:b/>
      <w:sz w:val="48"/>
      <w:szCs w:val="48"/>
    </w:rPr>
  </w:style>
  <w:style w:type="paragraph" w:styleId="Bibliography">
    <w:name w:val="Bibliography"/>
    <w:basedOn w:val="Normal"/>
    <w:next w:val="Normal"/>
    <w:uiPriority w:val="37"/>
    <w:unhideWhenUsed/>
    <w:rsid w:val="00B47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5123">
      <w:bodyDiv w:val="1"/>
      <w:marLeft w:val="0"/>
      <w:marRight w:val="0"/>
      <w:marTop w:val="0"/>
      <w:marBottom w:val="0"/>
      <w:divBdr>
        <w:top w:val="none" w:sz="0" w:space="0" w:color="auto"/>
        <w:left w:val="none" w:sz="0" w:space="0" w:color="auto"/>
        <w:bottom w:val="none" w:sz="0" w:space="0" w:color="auto"/>
        <w:right w:val="none" w:sz="0" w:space="0" w:color="auto"/>
      </w:divBdr>
    </w:div>
    <w:div w:id="94521031">
      <w:bodyDiv w:val="1"/>
      <w:marLeft w:val="0"/>
      <w:marRight w:val="0"/>
      <w:marTop w:val="0"/>
      <w:marBottom w:val="0"/>
      <w:divBdr>
        <w:top w:val="none" w:sz="0" w:space="0" w:color="auto"/>
        <w:left w:val="none" w:sz="0" w:space="0" w:color="auto"/>
        <w:bottom w:val="none" w:sz="0" w:space="0" w:color="auto"/>
        <w:right w:val="none" w:sz="0" w:space="0" w:color="auto"/>
      </w:divBdr>
    </w:div>
    <w:div w:id="248586035">
      <w:bodyDiv w:val="1"/>
      <w:marLeft w:val="0"/>
      <w:marRight w:val="0"/>
      <w:marTop w:val="0"/>
      <w:marBottom w:val="0"/>
      <w:divBdr>
        <w:top w:val="none" w:sz="0" w:space="0" w:color="auto"/>
        <w:left w:val="none" w:sz="0" w:space="0" w:color="auto"/>
        <w:bottom w:val="none" w:sz="0" w:space="0" w:color="auto"/>
        <w:right w:val="none" w:sz="0" w:space="0" w:color="auto"/>
      </w:divBdr>
    </w:div>
    <w:div w:id="261039608">
      <w:bodyDiv w:val="1"/>
      <w:marLeft w:val="0"/>
      <w:marRight w:val="0"/>
      <w:marTop w:val="0"/>
      <w:marBottom w:val="0"/>
      <w:divBdr>
        <w:top w:val="none" w:sz="0" w:space="0" w:color="auto"/>
        <w:left w:val="none" w:sz="0" w:space="0" w:color="auto"/>
        <w:bottom w:val="none" w:sz="0" w:space="0" w:color="auto"/>
        <w:right w:val="none" w:sz="0" w:space="0" w:color="auto"/>
      </w:divBdr>
    </w:div>
    <w:div w:id="670136327">
      <w:bodyDiv w:val="1"/>
      <w:marLeft w:val="0"/>
      <w:marRight w:val="0"/>
      <w:marTop w:val="0"/>
      <w:marBottom w:val="0"/>
      <w:divBdr>
        <w:top w:val="none" w:sz="0" w:space="0" w:color="auto"/>
        <w:left w:val="none" w:sz="0" w:space="0" w:color="auto"/>
        <w:bottom w:val="none" w:sz="0" w:space="0" w:color="auto"/>
        <w:right w:val="none" w:sz="0" w:space="0" w:color="auto"/>
      </w:divBdr>
    </w:div>
    <w:div w:id="778525710">
      <w:bodyDiv w:val="1"/>
      <w:marLeft w:val="0"/>
      <w:marRight w:val="0"/>
      <w:marTop w:val="0"/>
      <w:marBottom w:val="0"/>
      <w:divBdr>
        <w:top w:val="none" w:sz="0" w:space="0" w:color="auto"/>
        <w:left w:val="none" w:sz="0" w:space="0" w:color="auto"/>
        <w:bottom w:val="none" w:sz="0" w:space="0" w:color="auto"/>
        <w:right w:val="none" w:sz="0" w:space="0" w:color="auto"/>
      </w:divBdr>
    </w:div>
    <w:div w:id="917981210">
      <w:bodyDiv w:val="1"/>
      <w:marLeft w:val="0"/>
      <w:marRight w:val="0"/>
      <w:marTop w:val="0"/>
      <w:marBottom w:val="0"/>
      <w:divBdr>
        <w:top w:val="none" w:sz="0" w:space="0" w:color="auto"/>
        <w:left w:val="none" w:sz="0" w:space="0" w:color="auto"/>
        <w:bottom w:val="none" w:sz="0" w:space="0" w:color="auto"/>
        <w:right w:val="none" w:sz="0" w:space="0" w:color="auto"/>
      </w:divBdr>
      <w:divsChild>
        <w:div w:id="479464377">
          <w:marLeft w:val="0"/>
          <w:marRight w:val="0"/>
          <w:marTop w:val="0"/>
          <w:marBottom w:val="0"/>
          <w:divBdr>
            <w:top w:val="none" w:sz="0" w:space="0" w:color="auto"/>
            <w:left w:val="none" w:sz="0" w:space="0" w:color="auto"/>
            <w:bottom w:val="none" w:sz="0" w:space="0" w:color="auto"/>
            <w:right w:val="none" w:sz="0" w:space="0" w:color="auto"/>
          </w:divBdr>
          <w:divsChild>
            <w:div w:id="1072585805">
              <w:marLeft w:val="0"/>
              <w:marRight w:val="0"/>
              <w:marTop w:val="0"/>
              <w:marBottom w:val="0"/>
              <w:divBdr>
                <w:top w:val="none" w:sz="0" w:space="0" w:color="auto"/>
                <w:left w:val="none" w:sz="0" w:space="0" w:color="auto"/>
                <w:bottom w:val="none" w:sz="0" w:space="0" w:color="auto"/>
                <w:right w:val="none" w:sz="0" w:space="0" w:color="auto"/>
              </w:divBdr>
              <w:divsChild>
                <w:div w:id="641353194">
                  <w:marLeft w:val="0"/>
                  <w:marRight w:val="0"/>
                  <w:marTop w:val="0"/>
                  <w:marBottom w:val="0"/>
                  <w:divBdr>
                    <w:top w:val="none" w:sz="0" w:space="0" w:color="auto"/>
                    <w:left w:val="none" w:sz="0" w:space="0" w:color="auto"/>
                    <w:bottom w:val="none" w:sz="0" w:space="0" w:color="auto"/>
                    <w:right w:val="none" w:sz="0" w:space="0" w:color="auto"/>
                  </w:divBdr>
                  <w:divsChild>
                    <w:div w:id="150489768">
                      <w:marLeft w:val="0"/>
                      <w:marRight w:val="0"/>
                      <w:marTop w:val="0"/>
                      <w:marBottom w:val="0"/>
                      <w:divBdr>
                        <w:top w:val="none" w:sz="0" w:space="0" w:color="auto"/>
                        <w:left w:val="none" w:sz="0" w:space="0" w:color="auto"/>
                        <w:bottom w:val="none" w:sz="0" w:space="0" w:color="auto"/>
                        <w:right w:val="none" w:sz="0" w:space="0" w:color="auto"/>
                      </w:divBdr>
                      <w:divsChild>
                        <w:div w:id="1647394917">
                          <w:marLeft w:val="0"/>
                          <w:marRight w:val="0"/>
                          <w:marTop w:val="0"/>
                          <w:marBottom w:val="0"/>
                          <w:divBdr>
                            <w:top w:val="none" w:sz="0" w:space="0" w:color="auto"/>
                            <w:left w:val="none" w:sz="0" w:space="0" w:color="auto"/>
                            <w:bottom w:val="none" w:sz="0" w:space="0" w:color="auto"/>
                            <w:right w:val="none" w:sz="0" w:space="0" w:color="auto"/>
                          </w:divBdr>
                          <w:divsChild>
                            <w:div w:id="1831600377">
                              <w:marLeft w:val="0"/>
                              <w:marRight w:val="300"/>
                              <w:marTop w:val="180"/>
                              <w:marBottom w:val="0"/>
                              <w:divBdr>
                                <w:top w:val="none" w:sz="0" w:space="0" w:color="auto"/>
                                <w:left w:val="none" w:sz="0" w:space="0" w:color="auto"/>
                                <w:bottom w:val="none" w:sz="0" w:space="0" w:color="auto"/>
                                <w:right w:val="none" w:sz="0" w:space="0" w:color="auto"/>
                              </w:divBdr>
                              <w:divsChild>
                                <w:div w:id="1586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267016">
          <w:marLeft w:val="0"/>
          <w:marRight w:val="0"/>
          <w:marTop w:val="0"/>
          <w:marBottom w:val="0"/>
          <w:divBdr>
            <w:top w:val="none" w:sz="0" w:space="0" w:color="auto"/>
            <w:left w:val="none" w:sz="0" w:space="0" w:color="auto"/>
            <w:bottom w:val="none" w:sz="0" w:space="0" w:color="auto"/>
            <w:right w:val="none" w:sz="0" w:space="0" w:color="auto"/>
          </w:divBdr>
          <w:divsChild>
            <w:div w:id="768623919">
              <w:marLeft w:val="0"/>
              <w:marRight w:val="0"/>
              <w:marTop w:val="0"/>
              <w:marBottom w:val="0"/>
              <w:divBdr>
                <w:top w:val="none" w:sz="0" w:space="0" w:color="auto"/>
                <w:left w:val="none" w:sz="0" w:space="0" w:color="auto"/>
                <w:bottom w:val="none" w:sz="0" w:space="0" w:color="auto"/>
                <w:right w:val="none" w:sz="0" w:space="0" w:color="auto"/>
              </w:divBdr>
              <w:divsChild>
                <w:div w:id="1339382768">
                  <w:marLeft w:val="0"/>
                  <w:marRight w:val="0"/>
                  <w:marTop w:val="0"/>
                  <w:marBottom w:val="0"/>
                  <w:divBdr>
                    <w:top w:val="none" w:sz="0" w:space="0" w:color="auto"/>
                    <w:left w:val="none" w:sz="0" w:space="0" w:color="auto"/>
                    <w:bottom w:val="none" w:sz="0" w:space="0" w:color="auto"/>
                    <w:right w:val="none" w:sz="0" w:space="0" w:color="auto"/>
                  </w:divBdr>
                  <w:divsChild>
                    <w:div w:id="44838207">
                      <w:marLeft w:val="0"/>
                      <w:marRight w:val="0"/>
                      <w:marTop w:val="0"/>
                      <w:marBottom w:val="0"/>
                      <w:divBdr>
                        <w:top w:val="none" w:sz="0" w:space="0" w:color="auto"/>
                        <w:left w:val="none" w:sz="0" w:space="0" w:color="auto"/>
                        <w:bottom w:val="none" w:sz="0" w:space="0" w:color="auto"/>
                        <w:right w:val="none" w:sz="0" w:space="0" w:color="auto"/>
                      </w:divBdr>
                      <w:divsChild>
                        <w:div w:id="105134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07258">
      <w:bodyDiv w:val="1"/>
      <w:marLeft w:val="0"/>
      <w:marRight w:val="0"/>
      <w:marTop w:val="0"/>
      <w:marBottom w:val="0"/>
      <w:divBdr>
        <w:top w:val="none" w:sz="0" w:space="0" w:color="auto"/>
        <w:left w:val="none" w:sz="0" w:space="0" w:color="auto"/>
        <w:bottom w:val="none" w:sz="0" w:space="0" w:color="auto"/>
        <w:right w:val="none" w:sz="0" w:space="0" w:color="auto"/>
      </w:divBdr>
    </w:div>
    <w:div w:id="1200973287">
      <w:bodyDiv w:val="1"/>
      <w:marLeft w:val="0"/>
      <w:marRight w:val="0"/>
      <w:marTop w:val="0"/>
      <w:marBottom w:val="0"/>
      <w:divBdr>
        <w:top w:val="none" w:sz="0" w:space="0" w:color="auto"/>
        <w:left w:val="none" w:sz="0" w:space="0" w:color="auto"/>
        <w:bottom w:val="none" w:sz="0" w:space="0" w:color="auto"/>
        <w:right w:val="none" w:sz="0" w:space="0" w:color="auto"/>
      </w:divBdr>
    </w:div>
    <w:div w:id="1345323170">
      <w:bodyDiv w:val="1"/>
      <w:marLeft w:val="0"/>
      <w:marRight w:val="0"/>
      <w:marTop w:val="0"/>
      <w:marBottom w:val="0"/>
      <w:divBdr>
        <w:top w:val="none" w:sz="0" w:space="0" w:color="auto"/>
        <w:left w:val="none" w:sz="0" w:space="0" w:color="auto"/>
        <w:bottom w:val="none" w:sz="0" w:space="0" w:color="auto"/>
        <w:right w:val="none" w:sz="0" w:space="0" w:color="auto"/>
      </w:divBdr>
    </w:div>
    <w:div w:id="1368219544">
      <w:bodyDiv w:val="1"/>
      <w:marLeft w:val="0"/>
      <w:marRight w:val="0"/>
      <w:marTop w:val="0"/>
      <w:marBottom w:val="0"/>
      <w:divBdr>
        <w:top w:val="none" w:sz="0" w:space="0" w:color="auto"/>
        <w:left w:val="none" w:sz="0" w:space="0" w:color="auto"/>
        <w:bottom w:val="none" w:sz="0" w:space="0" w:color="auto"/>
        <w:right w:val="none" w:sz="0" w:space="0" w:color="auto"/>
      </w:divBdr>
    </w:div>
    <w:div w:id="1370572427">
      <w:bodyDiv w:val="1"/>
      <w:marLeft w:val="0"/>
      <w:marRight w:val="0"/>
      <w:marTop w:val="0"/>
      <w:marBottom w:val="0"/>
      <w:divBdr>
        <w:top w:val="none" w:sz="0" w:space="0" w:color="auto"/>
        <w:left w:val="none" w:sz="0" w:space="0" w:color="auto"/>
        <w:bottom w:val="none" w:sz="0" w:space="0" w:color="auto"/>
        <w:right w:val="none" w:sz="0" w:space="0" w:color="auto"/>
      </w:divBdr>
    </w:div>
    <w:div w:id="1422605210">
      <w:bodyDiv w:val="1"/>
      <w:marLeft w:val="0"/>
      <w:marRight w:val="0"/>
      <w:marTop w:val="0"/>
      <w:marBottom w:val="0"/>
      <w:divBdr>
        <w:top w:val="none" w:sz="0" w:space="0" w:color="auto"/>
        <w:left w:val="none" w:sz="0" w:space="0" w:color="auto"/>
        <w:bottom w:val="none" w:sz="0" w:space="0" w:color="auto"/>
        <w:right w:val="none" w:sz="0" w:space="0" w:color="auto"/>
      </w:divBdr>
    </w:div>
    <w:div w:id="1722288639">
      <w:bodyDiv w:val="1"/>
      <w:marLeft w:val="0"/>
      <w:marRight w:val="0"/>
      <w:marTop w:val="0"/>
      <w:marBottom w:val="0"/>
      <w:divBdr>
        <w:top w:val="none" w:sz="0" w:space="0" w:color="auto"/>
        <w:left w:val="none" w:sz="0" w:space="0" w:color="auto"/>
        <w:bottom w:val="none" w:sz="0" w:space="0" w:color="auto"/>
        <w:right w:val="none" w:sz="0" w:space="0" w:color="auto"/>
      </w:divBdr>
    </w:div>
    <w:div w:id="1794127055">
      <w:bodyDiv w:val="1"/>
      <w:marLeft w:val="0"/>
      <w:marRight w:val="0"/>
      <w:marTop w:val="0"/>
      <w:marBottom w:val="0"/>
      <w:divBdr>
        <w:top w:val="none" w:sz="0" w:space="0" w:color="auto"/>
        <w:left w:val="none" w:sz="0" w:space="0" w:color="auto"/>
        <w:bottom w:val="none" w:sz="0" w:space="0" w:color="auto"/>
        <w:right w:val="none" w:sz="0" w:space="0" w:color="auto"/>
      </w:divBdr>
    </w:div>
    <w:div w:id="2014454276">
      <w:bodyDiv w:val="1"/>
      <w:marLeft w:val="0"/>
      <w:marRight w:val="0"/>
      <w:marTop w:val="0"/>
      <w:marBottom w:val="0"/>
      <w:divBdr>
        <w:top w:val="none" w:sz="0" w:space="0" w:color="auto"/>
        <w:left w:val="none" w:sz="0" w:space="0" w:color="auto"/>
        <w:bottom w:val="none" w:sz="0" w:space="0" w:color="auto"/>
        <w:right w:val="none" w:sz="0" w:space="0" w:color="auto"/>
      </w:divBdr>
    </w:div>
    <w:div w:id="2060543290">
      <w:bodyDiv w:val="1"/>
      <w:marLeft w:val="0"/>
      <w:marRight w:val="0"/>
      <w:marTop w:val="0"/>
      <w:marBottom w:val="0"/>
      <w:divBdr>
        <w:top w:val="none" w:sz="0" w:space="0" w:color="auto"/>
        <w:left w:val="none" w:sz="0" w:space="0" w:color="auto"/>
        <w:bottom w:val="none" w:sz="0" w:space="0" w:color="auto"/>
        <w:right w:val="none" w:sz="0" w:space="0" w:color="auto"/>
      </w:divBdr>
      <w:divsChild>
        <w:div w:id="1725447432">
          <w:marLeft w:val="0"/>
          <w:marRight w:val="0"/>
          <w:marTop w:val="0"/>
          <w:marBottom w:val="0"/>
          <w:divBdr>
            <w:top w:val="none" w:sz="0" w:space="0" w:color="auto"/>
            <w:left w:val="none" w:sz="0" w:space="0" w:color="auto"/>
            <w:bottom w:val="none" w:sz="0" w:space="0" w:color="auto"/>
            <w:right w:val="none" w:sz="0" w:space="0" w:color="auto"/>
          </w:divBdr>
          <w:divsChild>
            <w:div w:id="2081058159">
              <w:marLeft w:val="0"/>
              <w:marRight w:val="0"/>
              <w:marTop w:val="0"/>
              <w:marBottom w:val="0"/>
              <w:divBdr>
                <w:top w:val="none" w:sz="0" w:space="0" w:color="auto"/>
                <w:left w:val="none" w:sz="0" w:space="0" w:color="auto"/>
                <w:bottom w:val="none" w:sz="0" w:space="0" w:color="auto"/>
                <w:right w:val="none" w:sz="0" w:space="0" w:color="auto"/>
              </w:divBdr>
              <w:divsChild>
                <w:div w:id="66002312">
                  <w:marLeft w:val="0"/>
                  <w:marRight w:val="0"/>
                  <w:marTop w:val="0"/>
                  <w:marBottom w:val="0"/>
                  <w:divBdr>
                    <w:top w:val="none" w:sz="0" w:space="0" w:color="auto"/>
                    <w:left w:val="none" w:sz="0" w:space="0" w:color="auto"/>
                    <w:bottom w:val="none" w:sz="0" w:space="0" w:color="auto"/>
                    <w:right w:val="none" w:sz="0" w:space="0" w:color="auto"/>
                  </w:divBdr>
                  <w:divsChild>
                    <w:div w:id="1172337926">
                      <w:marLeft w:val="0"/>
                      <w:marRight w:val="0"/>
                      <w:marTop w:val="0"/>
                      <w:marBottom w:val="0"/>
                      <w:divBdr>
                        <w:top w:val="none" w:sz="0" w:space="0" w:color="auto"/>
                        <w:left w:val="none" w:sz="0" w:space="0" w:color="auto"/>
                        <w:bottom w:val="none" w:sz="0" w:space="0" w:color="auto"/>
                        <w:right w:val="none" w:sz="0" w:space="0" w:color="auto"/>
                      </w:divBdr>
                      <w:divsChild>
                        <w:div w:id="1455438220">
                          <w:marLeft w:val="0"/>
                          <w:marRight w:val="0"/>
                          <w:marTop w:val="0"/>
                          <w:marBottom w:val="0"/>
                          <w:divBdr>
                            <w:top w:val="none" w:sz="0" w:space="0" w:color="auto"/>
                            <w:left w:val="none" w:sz="0" w:space="0" w:color="auto"/>
                            <w:bottom w:val="none" w:sz="0" w:space="0" w:color="auto"/>
                            <w:right w:val="none" w:sz="0" w:space="0" w:color="auto"/>
                          </w:divBdr>
                          <w:divsChild>
                            <w:div w:id="347176721">
                              <w:marLeft w:val="0"/>
                              <w:marRight w:val="300"/>
                              <w:marTop w:val="180"/>
                              <w:marBottom w:val="0"/>
                              <w:divBdr>
                                <w:top w:val="none" w:sz="0" w:space="0" w:color="auto"/>
                                <w:left w:val="none" w:sz="0" w:space="0" w:color="auto"/>
                                <w:bottom w:val="none" w:sz="0" w:space="0" w:color="auto"/>
                                <w:right w:val="none" w:sz="0" w:space="0" w:color="auto"/>
                              </w:divBdr>
                              <w:divsChild>
                                <w:div w:id="181744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5802">
          <w:marLeft w:val="0"/>
          <w:marRight w:val="0"/>
          <w:marTop w:val="0"/>
          <w:marBottom w:val="0"/>
          <w:divBdr>
            <w:top w:val="none" w:sz="0" w:space="0" w:color="auto"/>
            <w:left w:val="none" w:sz="0" w:space="0" w:color="auto"/>
            <w:bottom w:val="none" w:sz="0" w:space="0" w:color="auto"/>
            <w:right w:val="none" w:sz="0" w:space="0" w:color="auto"/>
          </w:divBdr>
          <w:divsChild>
            <w:div w:id="1298490185">
              <w:marLeft w:val="0"/>
              <w:marRight w:val="0"/>
              <w:marTop w:val="0"/>
              <w:marBottom w:val="0"/>
              <w:divBdr>
                <w:top w:val="none" w:sz="0" w:space="0" w:color="auto"/>
                <w:left w:val="none" w:sz="0" w:space="0" w:color="auto"/>
                <w:bottom w:val="none" w:sz="0" w:space="0" w:color="auto"/>
                <w:right w:val="none" w:sz="0" w:space="0" w:color="auto"/>
              </w:divBdr>
              <w:divsChild>
                <w:div w:id="334037398">
                  <w:marLeft w:val="0"/>
                  <w:marRight w:val="0"/>
                  <w:marTop w:val="0"/>
                  <w:marBottom w:val="0"/>
                  <w:divBdr>
                    <w:top w:val="none" w:sz="0" w:space="0" w:color="auto"/>
                    <w:left w:val="none" w:sz="0" w:space="0" w:color="auto"/>
                    <w:bottom w:val="none" w:sz="0" w:space="0" w:color="auto"/>
                    <w:right w:val="none" w:sz="0" w:space="0" w:color="auto"/>
                  </w:divBdr>
                  <w:divsChild>
                    <w:div w:id="1269854853">
                      <w:marLeft w:val="0"/>
                      <w:marRight w:val="0"/>
                      <w:marTop w:val="0"/>
                      <w:marBottom w:val="0"/>
                      <w:divBdr>
                        <w:top w:val="none" w:sz="0" w:space="0" w:color="auto"/>
                        <w:left w:val="none" w:sz="0" w:space="0" w:color="auto"/>
                        <w:bottom w:val="none" w:sz="0" w:space="0" w:color="auto"/>
                        <w:right w:val="none" w:sz="0" w:space="0" w:color="auto"/>
                      </w:divBdr>
                      <w:divsChild>
                        <w:div w:id="17765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www.euromoney.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kompas.com/tren/read/2020/05/16/164600865/sering-disebut-sebut-apa-itu-new-normal-?page=al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conomy.okezone.com/read/2019/10/04/320/2113122/lagi-bri-dinobatkan-asiamoney-sebagai-best-bank-for-cs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emkes.go.id/article/view/20052900001/vaksin-covid-19-belum-ditemukan-pemerintah-siapkan-skenario-new-normal.html" TargetMode="External"/><Relationship Id="rId5" Type="http://schemas.openxmlformats.org/officeDocument/2006/relationships/settings" Target="settings.xml"/><Relationship Id="rId15" Type="http://schemas.openxmlformats.org/officeDocument/2006/relationships/hyperlink" Target="www.mandiri.co.id" TargetMode="External"/><Relationship Id="rId10" Type="http://schemas.openxmlformats.org/officeDocument/2006/relationships/hyperlink" Target="http://www.mandiri.co.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ri.hastjarjo@staff.uns.ac.id2" TargetMode="External"/><Relationship Id="rId14" Type="http://schemas.openxmlformats.org/officeDocument/2006/relationships/hyperlink" Target="https://en.wikipedia.org/wiki/Asiamo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Version="2006">
  <b:Source>
    <b:Tag>Pau07</b:Tag>
    <b:SourceType>Book</b:SourceType>
    <b:Guid>{D38E698B-3275-4A3C-A5F1-E0F95EE4FA20}</b:Guid>
    <b:Author>
      <b:Author>
        <b:NameList>
          <b:Person>
            <b:Last>Hohnen</b:Last>
            <b:First>Paul</b:First>
          </b:Person>
        </b:NameList>
      </b:Author>
    </b:Author>
    <b:Title>Corporate Social Responsibilty: An Implementation Guide for Business</b:Title>
    <b:Year>2007</b:Year>
    <b:City>Canada</b:City>
    <b:Publisher>Internasional Institute for Sustainable Development</b:Publisher>
    <b:RefOrder>3</b:RefOrder>
  </b:Source>
  <b:Source>
    <b:Tag>Ste17</b:Tag>
    <b:SourceType>Book</b:SourceType>
    <b:Guid>{657535C1-DA7F-4743-B19B-CEA33D05C787}</b:Guid>
    <b:Author>
      <b:Author>
        <b:NameList>
          <b:Person>
            <b:Last>Stephen W. Littlejohn</b:Last>
            <b:First>Karen</b:First>
            <b:Middle>A.Foss</b:Middle>
          </b:Person>
          <b:Person>
            <b:Last>Oetzel</b:Last>
            <b:First>John</b:First>
            <b:Middle>G</b:Middle>
          </b:Person>
        </b:NameList>
      </b:Author>
    </b:Author>
    <b:Title>Theories of Human Communication</b:Title>
    <b:Year>2017</b:Year>
    <b:City>United States of America</b:City>
    <b:Publisher>Waveland Press, Inc.</b:Publisher>
    <b:Pages>333</b:Pages>
    <b:Edition>eleventh Edition</b:Edition>
    <b:RefOrder>2</b:RefOrder>
  </b:Source>
  <b:Source>
    <b:Tag>Asi19</b:Tag>
    <b:SourceType>InternetSite</b:SourceType>
    <b:Guid>{C84BE418-C432-4F24-B56F-E5D609AF47D9}</b:Guid>
    <b:Title>euromoney.com</b:Title>
    <b:Year>2019</b:Year>
    <b:Author>
      <b:Author>
        <b:NameList>
          <b:Person>
            <b:Last>Asiamoney</b:Last>
          </b:Person>
        </b:NameList>
      </b:Author>
    </b:Author>
    <b:ProductionCompany>euromoney.com</b:ProductionCompany>
    <b:Month>September</b:Month>
    <b:Day>Wednesday</b:Day>
    <b:YearAccessed>2019</b:YearAccessed>
    <b:MonthAccessed>December</b:MonthAccessed>
    <b:DayAccessed>Friday </b:DayAccessed>
    <b:URL>www.euromoney.com</b:URL>
    <b:ShortTitle>Asiamoney best bank awards 2019 : Indonesia</b:ShortTitle>
    <b:RefOrder>7</b:RefOrder>
  </b:Source>
  <b:Source>
    <b:Tag>Ban19</b:Tag>
    <b:SourceType>InternetSite</b:SourceType>
    <b:Guid>{13788F7A-6822-4B26-91D0-F4FA756A364F}</b:Guid>
    <b:Author>
      <b:Author>
        <b:NameList>
          <b:Person>
            <b:Last>Mandiri</b:Last>
            <b:First>Bank</b:First>
          </b:Person>
        </b:NameList>
      </b:Author>
    </b:Author>
    <b:Title>mandiri.co.id</b:Title>
    <b:ProductionCompany>Bank Mandiri</b:ProductionCompany>
    <b:Year>2019</b:Year>
    <b:Month>December</b:Month>
    <b:Day>Monday</b:Day>
    <b:YearAccessed>2020</b:YearAccessed>
    <b:MonthAccessed>July</b:MonthAccessed>
    <b:DayAccessed>Friday</b:DayAccessed>
    <b:URL>www.mandiri.co.id</b:URL>
    <b:RefOrder>9</b:RefOrder>
  </b:Source>
  <b:Source>
    <b:Tag>Ste07</b:Tag>
    <b:SourceType>Book</b:SourceType>
    <b:Guid>{BF5725EF-3545-4FA9-82F0-D394971F4C1F}</b:Guid>
    <b:Author>
      <b:Author>
        <b:NameList>
          <b:Person>
            <b:Last>Steve Kent May</b:Last>
            <b:First>George</b:First>
            <b:Middle>Cheney</b:Middle>
          </b:Person>
          <b:Person>
            <b:Last>Roper</b:Last>
            <b:First>Juliet</b:First>
          </b:Person>
        </b:NameList>
      </b:Author>
    </b:Author>
    <b:Title>The Debate Over Corporate Social Responsibility</b:Title>
    <b:Year>2007</b:Year>
    <b:City>England</b:City>
    <b:Publisher>Oxford University Press</b:Publisher>
    <b:RefOrder>12</b:RefOrder>
  </b:Source>
  <b:Source>
    <b:Tag>Rou17</b:Tag>
    <b:SourceType>Book</b:SourceType>
    <b:Guid>{33F6ADEF-4314-47EB-9961-CD7D7E3F8FAF}</b:Guid>
    <b:Title>The Comparative Research Methods. The International Encylopedia of Communication Research Methods</b:Title>
    <b:Year>2017</b:Year>
    <b:Publisher>John Wiley &amp; Sons, Inc.</b:Publisher>
    <b:Author>
      <b:Author>
        <b:NameList>
          <b:Person>
            <b:Last>Frank Esser</b:Last>
            <b:First>Rens</b:First>
            <b:Middle>Vliegenthart</b:Middle>
          </b:Person>
        </b:NameList>
      </b:Author>
    </b:Author>
    <b:Pages>1</b:Pages>
    <b:RefOrder>13</b:RefOrder>
  </b:Source>
  <b:Source>
    <b:Tag>Fra12</b:Tag>
    <b:SourceType>Book</b:SourceType>
    <b:Guid>{7EFF4E89-114F-4FDD-9BB2-31768086437F}</b:Guid>
    <b:Author>
      <b:Author>
        <b:NameList>
          <b:Person>
            <b:Last>Frank Esser</b:Last>
            <b:First>T</b:First>
            <b:Middle>Hanitzsch</b:Middle>
          </b:Person>
        </b:NameList>
      </b:Author>
    </b:Author>
    <b:Title>On The Why and How Comparative Inquiry In Communication Studies, HandBook of Comparative Communication Research</b:Title>
    <b:Year>2012</b:Year>
    <b:City>London</b:City>
    <b:Publisher>Routledge</b:Publisher>
    <b:RefOrder>14</b:RefOrder>
  </b:Source>
  <b:Source>
    <b:Tag>Ral17</b:Tag>
    <b:SourceType>Book</b:SourceType>
    <b:Guid>{4B25DFC8-01CA-4545-B760-C20E331609D3}</b:Guid>
    <b:Author>
      <b:Author>
        <b:NameList>
          <b:Person>
            <b:Last>Ralph Tench</b:Last>
            <b:First>Liz</b:First>
            <b:Middle>Yeomans</b:Middle>
          </b:Person>
        </b:NameList>
      </b:Author>
    </b:Author>
    <b:Title>Exploring Public Relation</b:Title>
    <b:Year>2017</b:Year>
    <b:City>United Kngdom</b:City>
    <b:Publisher>Pearson Education Limited</b:Publisher>
    <b:RefOrder>15</b:RefOrder>
  </b:Source>
  <b:Source>
    <b:Tag>Kes20</b:Tag>
    <b:SourceType>InternetSite</b:SourceType>
    <b:Guid>{A1D98036-104D-4A1B-B29F-0784C793ABE3}</b:Guid>
    <b:Author>
      <b:Author>
        <b:NameList>
          <b:Person>
            <b:Last>Kesehatan</b:Last>
            <b:First>Kementerian</b:First>
          </b:Person>
        </b:NameList>
      </b:Author>
    </b:Author>
    <b:InternetSiteTitle>www.kemkes.go.id</b:InternetSiteTitle>
    <b:Year>2020</b:Year>
    <b:Month>May</b:Month>
    <b:URL>https://www.kemkes.go.id/article/view/20052900001/vaksin-covid-19-belum-ditemukan-pemerintah-siapkan-skenario-new-normal.html</b:URL>
    <b:RefOrder>5</b:RefOrder>
  </b:Source>
  <b:Source>
    <b:Tag>Dan20</b:Tag>
    <b:SourceType>InternetSite</b:SourceType>
    <b:Guid>{A151B33A-D2C3-4064-B447-B0B78A3EA479}</b:Guid>
    <b:Author>
      <b:Author>
        <b:NameList>
          <b:Person>
            <b:Last>Bramasta</b:Last>
            <b:First>Dandy</b:First>
            <b:Middle>Bayu</b:Middle>
          </b:Person>
        </b:NameList>
      </b:Author>
    </b:Author>
    <b:InternetSiteTitle>www. kompas.com</b:InternetSiteTitle>
    <b:Year>2020</b:Year>
    <b:Month>May</b:Month>
    <b:URL>https://www.kompas.com/tren/read/2020/05/16/164600865/sering-disebut-sebut-apa-itu-new-normal-?page=all.</b:URL>
    <b:RefOrder>6</b:RefOrder>
  </b:Source>
  <b:Source>
    <b:Tag>wik20</b:Tag>
    <b:SourceType>InternetSite</b:SourceType>
    <b:Guid>{69483884-C4C6-409B-B32A-4074E795C913}</b:Guid>
    <b:Author>
      <b:Author>
        <b:NameList>
          <b:Person>
            <b:Last>wikipedia</b:Last>
          </b:Person>
        </b:NameList>
      </b:Author>
    </b:Author>
    <b:InternetSiteTitle>https://en.wikipedia.org/</b:InternetSiteTitle>
    <b:Year>2020</b:Year>
    <b:Month>April</b:Month>
    <b:URL>https://en.wikipedia.org/wiki/Asiamoney</b:URL>
    <b:RefOrder>8</b:RefOrder>
  </b:Source>
  <b:Source>
    <b:Tag>oke19</b:Tag>
    <b:SourceType>InternetSite</b:SourceType>
    <b:Guid>{1E41ED27-6594-491A-9B8D-B0DE7D04E197}</b:Guid>
    <b:Author>
      <b:Author>
        <b:NameList>
          <b:Person>
            <b:Last>okezone.com</b:Last>
          </b:Person>
        </b:NameList>
      </b:Author>
    </b:Author>
    <b:InternetSiteTitle>www.okezone.com</b:InternetSiteTitle>
    <b:Year>2019</b:Year>
    <b:Month>October</b:Month>
    <b:URL>https://economy.okezone.com/read/2019/10/04/320/2113122/lagi-bri-dinobatkan-asiamoney-sebagai-best-bank-for-csr</b:URL>
    <b:RefOrder>10</b:RefOrder>
  </b:Source>
  <b:Source>
    <b:Tag>Ind19</b:Tag>
    <b:SourceType>Report</b:SourceType>
    <b:Guid>{ECA69719-C7BB-438E-A69A-79413F070CDC}</b:Guid>
    <b:Year>2019</b:Year>
    <b:Author>
      <b:Author>
        <b:NameList>
          <b:Person>
            <b:Last>Indonesia</b:Last>
            <b:First>Bank</b:First>
            <b:Middle>Rakyat</b:Middle>
          </b:Person>
        </b:NameList>
      </b:Author>
    </b:Author>
    <b:Title>Laporan Keberlanjutan 2019</b:Title>
    <b:Institution>PT. Bank Rakyat Indonesia Persero (Tbk)</b:Institution>
    <b:City>Jakarta</b:City>
    <b:ThesisType>Anual Report</b:ThesisType>
    <b:StandardNumber>BRI-SR-2019</b:StandardNumber>
    <b:RefOrder>11</b:RefOrder>
  </b:Source>
  <b:Source>
    <b:Tag>Cla00</b:Tag>
    <b:SourceType>JournalArticle</b:SourceType>
    <b:Guid>{5B139D84-827C-4212-B65E-BE5F96824DE4}</b:Guid>
    <b:Year>2000</b:Year>
    <b:Author>
      <b:Author>
        <b:NameList>
          <b:Person>
            <b:Last>Clark</b:Last>
            <b:First>Cythia</b:First>
            <b:Middle>E.</b:Middle>
          </b:Person>
        </b:NameList>
      </b:Author>
    </b:Author>
    <b:Title>Differences Between Public Relations and Corporate Social Responsibility : An Analysis</b:Title>
    <b:JournalName>Public Relations Review</b:JournalName>
    <b:Pages>363,366</b:Pages>
    <b:Publisher>Elsevier Science Inc</b:Publisher>
    <b:StandardNumber>ISSN: 0363-8111</b:StandardNumber>
    <b:RefOrder>1</b:RefOrder>
  </b:Source>
  <b:Source>
    <b:Tag>Cam16</b:Tag>
    <b:SourceType>BookSection</b:SourceType>
    <b:Guid>{44C13BED-4260-4407-AEA4-03A4E0E48654}</b:Guid>
    <b:Author>
      <b:Author>
        <b:NameList>
          <b:Person>
            <b:Last>Camilleri</b:Last>
            <b:First>Mark</b:First>
            <b:Middle>Anthony (Ed)</b:Middle>
          </b:Person>
        </b:NameList>
      </b:Author>
      <b:BookAuthor>
        <b:NameList>
          <b:Person>
            <b:Last>Camilleri</b:Last>
            <b:First>Mark</b:First>
            <b:Middle>Anthony</b:Middle>
          </b:Person>
        </b:NameList>
      </b:BookAuthor>
    </b:Author>
    <b:Title>The Corporate Sustainability and Responsibility Proposition: A Review and Appraisal.</b:Title>
    <b:Year>2016</b:Year>
    <b:BookTitle>CSR 2.0 and the New Era of Corporate Citizenship</b:BookTitle>
    <b:Publisher>IGI Global.</b:Publisher>
    <b:RefOrder>4</b:RefOrder>
  </b:Source>
  <b:Source>
    <b:Tag>Sha20</b:Tag>
    <b:SourceType>JournalArticle</b:SourceType>
    <b:Guid>{9F86CFBD-49E6-469A-A04F-BD1ADB5A37DB}</b:Guid>
    <b:Title>Corporate Social Responsibility during the coronavirus pandemic : An Interim Overview</b:Title>
    <b:Year>2020</b:Year>
    <b:Pages>255</b:Pages>
    <b:Author>
      <b:Author>
        <b:NameList>
          <b:Person>
            <b:Last>Lussier</b:Last>
            <b:First>Shaike</b:First>
            <b:Middle>Marom (Corresponding Author) and Robert N</b:Middle>
          </b:Person>
        </b:NameList>
      </b:Author>
    </b:Author>
    <b:JournalName>Macrothink Institute</b:JournalName>
    <b:Volume>10 No.2</b:Volume>
    <b:Issue>Bussines and Economic Research</b:Issue>
    <b:RefOrder>16</b:RefOrder>
  </b:Source>
</b:Sources>
</file>

<file path=customXml/itemProps1.xml><?xml version="1.0" encoding="utf-8"?>
<ds:datastoreItem xmlns:ds="http://schemas.openxmlformats.org/officeDocument/2006/customXml" ds:itemID="{B3BE7E7D-4DBB-45CF-985F-98E92170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10</Pages>
  <Words>4460</Words>
  <Characters>25425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ismail - [2010]</cp:lastModifiedBy>
  <cp:revision>24</cp:revision>
  <dcterms:created xsi:type="dcterms:W3CDTF">2020-07-20T19:53:00Z</dcterms:created>
  <dcterms:modified xsi:type="dcterms:W3CDTF">2020-07-30T08:28:00Z</dcterms:modified>
</cp:coreProperties>
</file>