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DE4099" w14:textId="77777777" w:rsidR="00513F54" w:rsidRPr="00513F54" w:rsidRDefault="00513F54" w:rsidP="00513F54">
      <w:pPr>
        <w:pStyle w:val="HEPITITLE"/>
        <w:rPr>
          <w:rFonts w:ascii="Times New Roman" w:hAnsi="Times New Roman"/>
          <w:sz w:val="32"/>
          <w:lang w:val="en-US"/>
        </w:rPr>
      </w:pPr>
      <w:r w:rsidRPr="00513F54">
        <w:rPr>
          <w:rFonts w:ascii="Times New Roman" w:hAnsi="Times New Roman"/>
          <w:sz w:val="32"/>
          <w:lang w:val="en-ID"/>
        </w:rPr>
        <w:t xml:space="preserve">Developing </w:t>
      </w:r>
      <w:proofErr w:type="gramStart"/>
      <w:r w:rsidRPr="00513F54">
        <w:rPr>
          <w:rFonts w:ascii="Times New Roman" w:hAnsi="Times New Roman"/>
          <w:sz w:val="32"/>
          <w:lang w:val="en-ID"/>
        </w:rPr>
        <w:t>An Instrument To Measure The</w:t>
      </w:r>
      <w:proofErr w:type="gramEnd"/>
      <w:r w:rsidRPr="00513F54">
        <w:rPr>
          <w:rFonts w:ascii="Times New Roman" w:hAnsi="Times New Roman"/>
          <w:sz w:val="32"/>
          <w:lang w:val="en-ID"/>
        </w:rPr>
        <w:t xml:space="preserve"> Pre-Service Teacher’s Personality Competence In The </w:t>
      </w:r>
      <w:proofErr w:type="spellStart"/>
      <w:r w:rsidRPr="00513F54">
        <w:rPr>
          <w:rFonts w:ascii="Times New Roman" w:hAnsi="Times New Roman"/>
          <w:sz w:val="32"/>
          <w:lang w:val="en-ID"/>
        </w:rPr>
        <w:t>Industiral</w:t>
      </w:r>
      <w:proofErr w:type="spellEnd"/>
      <w:r w:rsidRPr="00513F54">
        <w:rPr>
          <w:rFonts w:ascii="Times New Roman" w:hAnsi="Times New Roman"/>
          <w:sz w:val="32"/>
          <w:lang w:val="en-ID"/>
        </w:rPr>
        <w:t xml:space="preserve"> Revolution</w:t>
      </w:r>
      <w:r w:rsidRPr="00513F54">
        <w:rPr>
          <w:rFonts w:ascii="Times New Roman" w:hAnsi="Times New Roman"/>
          <w:sz w:val="32"/>
        </w:rPr>
        <w:t xml:space="preserve"> 4.0</w:t>
      </w:r>
    </w:p>
    <w:p w14:paraId="726100AD" w14:textId="77777777" w:rsidR="00513F54" w:rsidRDefault="00513F54">
      <w:pPr>
        <w:ind w:firstLine="227"/>
        <w:jc w:val="center"/>
        <w:rPr>
          <w:rFonts w:eastAsia="Times"/>
        </w:rPr>
      </w:pPr>
    </w:p>
    <w:p w14:paraId="650E8E75" w14:textId="7F6024F7" w:rsidR="00513F54" w:rsidRPr="00CB6B26" w:rsidRDefault="00513F54" w:rsidP="00CB6B26">
      <w:pPr>
        <w:pStyle w:val="HEPIAUTHOR"/>
        <w:spacing w:before="0"/>
        <w:rPr>
          <w:rFonts w:ascii="Times New Roman" w:hAnsi="Times New Roman"/>
          <w:i w:val="0"/>
          <w:iCs/>
          <w:sz w:val="20"/>
          <w:vertAlign w:val="superscript"/>
          <w:lang w:val="en-US"/>
        </w:rPr>
      </w:pPr>
      <w:r w:rsidRPr="00513F54">
        <w:rPr>
          <w:rFonts w:ascii="Times New Roman" w:hAnsi="Times New Roman"/>
          <w:bCs/>
          <w:i w:val="0"/>
          <w:iCs/>
          <w:sz w:val="20"/>
        </w:rPr>
        <w:t>Badrun Kartowagiran</w:t>
      </w:r>
      <w:r>
        <w:rPr>
          <w:rFonts w:ascii="Times New Roman" w:hAnsi="Times New Roman"/>
          <w:bCs/>
          <w:i w:val="0"/>
          <w:iCs/>
          <w:sz w:val="20"/>
          <w:vertAlign w:val="superscript"/>
          <w:lang w:val="en-US"/>
        </w:rPr>
        <w:t>1</w:t>
      </w:r>
      <w:r w:rsidRPr="00513F54">
        <w:rPr>
          <w:rFonts w:ascii="Times New Roman" w:hAnsi="Times New Roman"/>
          <w:bCs/>
          <w:i w:val="0"/>
          <w:iCs/>
          <w:sz w:val="20"/>
          <w:lang w:val="en-US"/>
        </w:rPr>
        <w:t xml:space="preserve">, </w:t>
      </w:r>
      <w:r w:rsidRPr="00513F54">
        <w:rPr>
          <w:rFonts w:ascii="Times New Roman" w:hAnsi="Times New Roman"/>
          <w:bCs/>
          <w:i w:val="0"/>
          <w:iCs/>
          <w:sz w:val="20"/>
        </w:rPr>
        <w:t>Suyanta</w:t>
      </w:r>
      <w:r>
        <w:rPr>
          <w:rFonts w:ascii="Times New Roman" w:hAnsi="Times New Roman"/>
          <w:bCs/>
          <w:i w:val="0"/>
          <w:iCs/>
          <w:sz w:val="20"/>
          <w:vertAlign w:val="superscript"/>
          <w:lang w:val="en-US"/>
        </w:rPr>
        <w:t>2</w:t>
      </w:r>
      <w:r w:rsidRPr="00513F54">
        <w:rPr>
          <w:rFonts w:ascii="Times New Roman" w:hAnsi="Times New Roman"/>
          <w:bCs/>
          <w:i w:val="0"/>
          <w:iCs/>
          <w:sz w:val="20"/>
          <w:lang w:val="en-US"/>
        </w:rPr>
        <w:t xml:space="preserve">, </w:t>
      </w:r>
      <w:r w:rsidRPr="00513F54">
        <w:rPr>
          <w:rFonts w:ascii="Times New Roman" w:hAnsi="Times New Roman"/>
          <w:bCs/>
          <w:i w:val="0"/>
          <w:iCs/>
          <w:sz w:val="20"/>
        </w:rPr>
        <w:t>Amat Jaedun</w:t>
      </w:r>
      <w:r>
        <w:rPr>
          <w:rFonts w:ascii="Times New Roman" w:hAnsi="Times New Roman"/>
          <w:bCs/>
          <w:i w:val="0"/>
          <w:iCs/>
          <w:sz w:val="20"/>
          <w:vertAlign w:val="superscript"/>
          <w:lang w:val="en-US"/>
        </w:rPr>
        <w:t>3</w:t>
      </w:r>
      <w:r w:rsidRPr="00513F54">
        <w:rPr>
          <w:rFonts w:ascii="Times New Roman" w:hAnsi="Times New Roman"/>
          <w:bCs/>
          <w:i w:val="0"/>
          <w:iCs/>
          <w:sz w:val="20"/>
          <w:lang w:val="en-US"/>
        </w:rPr>
        <w:t xml:space="preserve">, </w:t>
      </w:r>
      <w:proofErr w:type="spellStart"/>
      <w:r w:rsidRPr="00513F54">
        <w:rPr>
          <w:rFonts w:ascii="Times New Roman" w:hAnsi="Times New Roman"/>
          <w:bCs/>
          <w:i w:val="0"/>
          <w:iCs/>
          <w:sz w:val="20"/>
          <w:lang w:val="en-US"/>
        </w:rPr>
        <w:t>Syukrul</w:t>
      </w:r>
      <w:proofErr w:type="spellEnd"/>
      <w:r w:rsidRPr="00513F54">
        <w:rPr>
          <w:rFonts w:ascii="Times New Roman" w:hAnsi="Times New Roman"/>
          <w:bCs/>
          <w:i w:val="0"/>
          <w:iCs/>
          <w:sz w:val="20"/>
          <w:lang w:val="en-US"/>
        </w:rPr>
        <w:t xml:space="preserve"> Hamdi</w:t>
      </w:r>
      <w:r>
        <w:rPr>
          <w:rFonts w:ascii="Times New Roman" w:hAnsi="Times New Roman"/>
          <w:bCs/>
          <w:i w:val="0"/>
          <w:iCs/>
          <w:sz w:val="20"/>
          <w:vertAlign w:val="superscript"/>
          <w:lang w:val="en-US"/>
        </w:rPr>
        <w:t>4</w:t>
      </w:r>
      <w:r w:rsidRPr="00513F54">
        <w:rPr>
          <w:rFonts w:ascii="Times New Roman" w:hAnsi="Times New Roman"/>
          <w:bCs/>
          <w:i w:val="0"/>
          <w:iCs/>
          <w:sz w:val="20"/>
          <w:lang w:val="en-US"/>
        </w:rPr>
        <w:t>, Ahman</w:t>
      </w:r>
      <w:r>
        <w:rPr>
          <w:rFonts w:ascii="Times New Roman" w:hAnsi="Times New Roman"/>
          <w:bCs/>
          <w:i w:val="0"/>
          <w:iCs/>
          <w:sz w:val="20"/>
          <w:vertAlign w:val="superscript"/>
          <w:lang w:val="en-US"/>
        </w:rPr>
        <w:t>5</w:t>
      </w:r>
      <w:r w:rsidRPr="00513F54">
        <w:rPr>
          <w:rFonts w:ascii="Times New Roman" w:hAnsi="Times New Roman"/>
          <w:bCs/>
          <w:i w:val="0"/>
          <w:iCs/>
          <w:sz w:val="20"/>
          <w:lang w:val="en-US"/>
        </w:rPr>
        <w:t>, Rusijono</w:t>
      </w:r>
      <w:r>
        <w:rPr>
          <w:rFonts w:ascii="Times New Roman" w:hAnsi="Times New Roman"/>
          <w:bCs/>
          <w:i w:val="0"/>
          <w:iCs/>
          <w:sz w:val="20"/>
          <w:vertAlign w:val="superscript"/>
          <w:lang w:val="en-US"/>
        </w:rPr>
        <w:t>6</w:t>
      </w:r>
      <w:r w:rsidRPr="00513F54">
        <w:rPr>
          <w:rFonts w:ascii="Times New Roman" w:hAnsi="Times New Roman"/>
          <w:bCs/>
          <w:i w:val="0"/>
          <w:iCs/>
          <w:sz w:val="20"/>
          <w:lang w:val="en-US"/>
        </w:rPr>
        <w:t xml:space="preserve">, </w:t>
      </w:r>
      <w:r w:rsidRPr="00513F54">
        <w:rPr>
          <w:rFonts w:ascii="Times New Roman" w:hAnsi="Times New Roman"/>
          <w:i w:val="0"/>
          <w:sz w:val="20"/>
          <w:szCs w:val="24"/>
        </w:rPr>
        <w:t>Lukman A.R. Laliyo</w:t>
      </w:r>
      <w:r>
        <w:rPr>
          <w:rFonts w:ascii="Times New Roman" w:hAnsi="Times New Roman"/>
          <w:i w:val="0"/>
          <w:sz w:val="20"/>
          <w:szCs w:val="24"/>
          <w:vertAlign w:val="superscript"/>
          <w:lang w:val="en-US"/>
        </w:rPr>
        <w:t>7</w:t>
      </w:r>
    </w:p>
    <w:p w14:paraId="2062F93C" w14:textId="26DB3889" w:rsidR="00274BE6" w:rsidRPr="009809A4" w:rsidRDefault="008153B4" w:rsidP="00513F54">
      <w:pPr>
        <w:jc w:val="center"/>
        <w:rPr>
          <w:lang w:val="en-US"/>
        </w:rPr>
      </w:pPr>
      <w:r w:rsidRPr="0042530D">
        <w:rPr>
          <w:rFonts w:eastAsia="Times"/>
          <w:sz w:val="18"/>
          <w:szCs w:val="18"/>
        </w:rPr>
        <w:t>{</w:t>
      </w:r>
      <w:r w:rsidR="00513F54" w:rsidRPr="00513F54">
        <w:rPr>
          <w:i/>
        </w:rPr>
        <w:t xml:space="preserve"> </w:t>
      </w:r>
      <w:hyperlink r:id="rId8" w:history="1">
        <w:r w:rsidR="00513F54" w:rsidRPr="00513F54">
          <w:rPr>
            <w:rStyle w:val="Hyperlink"/>
            <w:i/>
          </w:rPr>
          <w:t>kartowagiran@uny.ac.id</w:t>
        </w:r>
      </w:hyperlink>
      <w:r w:rsidR="00513F54">
        <w:rPr>
          <w:rFonts w:eastAsia="Times"/>
          <w:sz w:val="18"/>
          <w:szCs w:val="18"/>
          <w:vertAlign w:val="superscript"/>
        </w:rPr>
        <w:t>1</w:t>
      </w:r>
      <w:r w:rsidR="00513F54">
        <w:rPr>
          <w:rFonts w:eastAsia="Times"/>
          <w:sz w:val="18"/>
          <w:szCs w:val="18"/>
        </w:rPr>
        <w:t xml:space="preserve">, </w:t>
      </w:r>
      <w:hyperlink r:id="rId9" w:history="1">
        <w:r w:rsidR="00513F54" w:rsidRPr="0045138A">
          <w:rPr>
            <w:rStyle w:val="Hyperlink"/>
            <w:i/>
            <w:iCs/>
            <w:lang w:val="en-US"/>
          </w:rPr>
          <w:t>suyanta@uny.ac.id</w:t>
        </w:r>
      </w:hyperlink>
      <w:r w:rsidR="00513F54">
        <w:rPr>
          <w:i/>
          <w:iCs/>
          <w:vertAlign w:val="superscript"/>
          <w:lang w:val="en-US"/>
        </w:rPr>
        <w:t>2</w:t>
      </w:r>
      <w:r w:rsidR="00513F54">
        <w:rPr>
          <w:rFonts w:eastAsia="Times"/>
          <w:sz w:val="18"/>
          <w:szCs w:val="18"/>
        </w:rPr>
        <w:t xml:space="preserve">, </w:t>
      </w:r>
      <w:r w:rsidR="00513F54">
        <w:rPr>
          <w:i/>
          <w:iCs/>
          <w:lang w:val="en-US"/>
        </w:rPr>
        <w:fldChar w:fldCharType="begin"/>
      </w:r>
      <w:r w:rsidR="00513F54">
        <w:rPr>
          <w:i/>
          <w:iCs/>
          <w:lang w:val="en-US"/>
        </w:rPr>
        <w:instrText xml:space="preserve"> HYPERLINK "mailto:jaedun@uny.ac.id" </w:instrText>
      </w:r>
      <w:r w:rsidR="00513F54">
        <w:rPr>
          <w:i/>
          <w:iCs/>
          <w:lang w:val="en-US"/>
        </w:rPr>
        <w:fldChar w:fldCharType="separate"/>
      </w:r>
      <w:r w:rsidR="00513F54" w:rsidRPr="0045138A">
        <w:rPr>
          <w:rStyle w:val="Hyperlink"/>
          <w:i/>
          <w:iCs/>
          <w:lang w:val="en-US"/>
        </w:rPr>
        <w:t>jaedun@uny.ac.id</w:t>
      </w:r>
      <w:r w:rsidR="00513F54">
        <w:rPr>
          <w:i/>
          <w:iCs/>
          <w:lang w:val="en-US"/>
        </w:rPr>
        <w:fldChar w:fldCharType="end"/>
      </w:r>
      <w:r w:rsidR="00513F54">
        <w:rPr>
          <w:i/>
          <w:iCs/>
          <w:vertAlign w:val="superscript"/>
          <w:lang w:val="en-US"/>
        </w:rPr>
        <w:t>3</w:t>
      </w:r>
      <w:r w:rsidR="00513F54">
        <w:rPr>
          <w:rFonts w:eastAsia="Times"/>
          <w:sz w:val="18"/>
          <w:szCs w:val="18"/>
        </w:rPr>
        <w:t>,</w:t>
      </w:r>
      <w:r w:rsidR="00513F54" w:rsidRPr="00513F54">
        <w:rPr>
          <w:i/>
          <w:iCs/>
          <w:lang w:val="en-US"/>
        </w:rPr>
        <w:t xml:space="preserve"> </w:t>
      </w:r>
      <w:hyperlink r:id="rId10" w:history="1">
        <w:r w:rsidR="00513F54" w:rsidRPr="0045138A">
          <w:rPr>
            <w:rStyle w:val="Hyperlink"/>
            <w:i/>
            <w:iCs/>
            <w:lang w:val="en-US"/>
          </w:rPr>
          <w:t>syukrulhamdi@uny.ac.id</w:t>
        </w:r>
      </w:hyperlink>
      <w:r w:rsidR="00513F54">
        <w:rPr>
          <w:i/>
          <w:iCs/>
          <w:vertAlign w:val="superscript"/>
          <w:lang w:val="en-US"/>
        </w:rPr>
        <w:t>4</w:t>
      </w:r>
      <w:r w:rsidR="00513F54">
        <w:rPr>
          <w:i/>
          <w:iCs/>
          <w:lang w:val="en-US"/>
        </w:rPr>
        <w:t xml:space="preserve">, </w:t>
      </w:r>
      <w:hyperlink r:id="rId11" w:history="1">
        <w:r w:rsidR="00513F54" w:rsidRPr="0045138A">
          <w:rPr>
            <w:rStyle w:val="Hyperlink"/>
            <w:i/>
            <w:iCs/>
            <w:lang w:val="en-US"/>
          </w:rPr>
          <w:t>ahman@upi.edu</w:t>
        </w:r>
      </w:hyperlink>
      <w:r w:rsidR="00513F54">
        <w:rPr>
          <w:i/>
          <w:iCs/>
          <w:vertAlign w:val="superscript"/>
          <w:lang w:val="en-US"/>
        </w:rPr>
        <w:t>5</w:t>
      </w:r>
      <w:r w:rsidR="00513F54">
        <w:rPr>
          <w:i/>
          <w:iCs/>
          <w:lang w:val="en-US"/>
        </w:rPr>
        <w:t xml:space="preserve">, </w:t>
      </w:r>
      <w:hyperlink r:id="rId12" w:history="1">
        <w:r w:rsidR="00513F54" w:rsidRPr="0045138A">
          <w:rPr>
            <w:rStyle w:val="Hyperlink"/>
            <w:i/>
            <w:iCs/>
            <w:lang w:val="en-US"/>
          </w:rPr>
          <w:t>rusijono61@unesa.ac.id</w:t>
        </w:r>
      </w:hyperlink>
      <w:r w:rsidR="00513F54">
        <w:rPr>
          <w:i/>
          <w:iCs/>
          <w:vertAlign w:val="superscript"/>
          <w:lang w:val="en-US"/>
        </w:rPr>
        <w:t>6</w:t>
      </w:r>
      <w:r w:rsidR="00513F54">
        <w:rPr>
          <w:i/>
          <w:iCs/>
          <w:lang w:val="en-US"/>
        </w:rPr>
        <w:t xml:space="preserve">, </w:t>
      </w:r>
      <w:hyperlink r:id="rId13" w:history="1">
        <w:r w:rsidR="00513F54" w:rsidRPr="0045138A">
          <w:rPr>
            <w:rStyle w:val="Hyperlink"/>
            <w:i/>
            <w:iCs/>
            <w:lang w:val="en-US"/>
          </w:rPr>
          <w:t>lukman.laliyo@ung.ac.id</w:t>
        </w:r>
      </w:hyperlink>
      <w:r w:rsidR="00513F54">
        <w:rPr>
          <w:i/>
          <w:iCs/>
          <w:vertAlign w:val="superscript"/>
          <w:lang w:val="en-US"/>
        </w:rPr>
        <w:t>7</w:t>
      </w:r>
      <w:r w:rsidR="00513F54">
        <w:rPr>
          <w:rFonts w:eastAsia="Times"/>
          <w:sz w:val="18"/>
          <w:szCs w:val="18"/>
        </w:rPr>
        <w:t xml:space="preserve"> </w:t>
      </w:r>
      <w:r w:rsidR="009809A4">
        <w:rPr>
          <w:rFonts w:eastAsia="Times"/>
          <w:sz w:val="18"/>
          <w:szCs w:val="18"/>
        </w:rPr>
        <w:t>}</w:t>
      </w:r>
    </w:p>
    <w:p w14:paraId="10003AE2" w14:textId="77777777" w:rsidR="00274BE6" w:rsidRPr="0042530D" w:rsidRDefault="00274BE6">
      <w:pPr>
        <w:ind w:firstLine="227"/>
        <w:jc w:val="center"/>
      </w:pPr>
    </w:p>
    <w:p w14:paraId="73DF9989" w14:textId="478AF324" w:rsidR="00274BE6" w:rsidRDefault="00513F54">
      <w:pPr>
        <w:ind w:firstLine="227"/>
        <w:jc w:val="center"/>
        <w:rPr>
          <w:rFonts w:eastAsia="Times"/>
          <w:sz w:val="18"/>
          <w:szCs w:val="18"/>
          <w:vertAlign w:val="superscript"/>
        </w:rPr>
      </w:pPr>
      <w:r>
        <w:rPr>
          <w:rFonts w:eastAsia="Times"/>
          <w:sz w:val="18"/>
          <w:szCs w:val="18"/>
        </w:rPr>
        <w:t>Universitas Negeri Yogyakarta, DIY-Indonesia</w:t>
      </w:r>
      <w:r w:rsidR="009809A4" w:rsidRPr="009809A4">
        <w:rPr>
          <w:rFonts w:eastAsia="Times"/>
          <w:sz w:val="18"/>
          <w:szCs w:val="18"/>
          <w:vertAlign w:val="superscript"/>
        </w:rPr>
        <w:t>1</w:t>
      </w:r>
      <w:r>
        <w:rPr>
          <w:rFonts w:eastAsia="Times"/>
          <w:sz w:val="18"/>
          <w:szCs w:val="18"/>
          <w:vertAlign w:val="superscript"/>
        </w:rPr>
        <w:t>,2,3,4</w:t>
      </w:r>
      <w:r w:rsidR="009809A4">
        <w:rPr>
          <w:rFonts w:eastAsia="Times"/>
          <w:sz w:val="18"/>
          <w:szCs w:val="18"/>
        </w:rPr>
        <w:t xml:space="preserve">, </w:t>
      </w:r>
      <w:r>
        <w:rPr>
          <w:rFonts w:eastAsia="Times"/>
          <w:sz w:val="18"/>
          <w:szCs w:val="18"/>
        </w:rPr>
        <w:t>Universitas Pendidian Indonesia</w:t>
      </w:r>
      <w:r w:rsidR="009809A4">
        <w:rPr>
          <w:rFonts w:eastAsia="Times"/>
          <w:sz w:val="18"/>
          <w:szCs w:val="18"/>
        </w:rPr>
        <w:t xml:space="preserve">, </w:t>
      </w:r>
      <w:r>
        <w:rPr>
          <w:rFonts w:eastAsia="Times"/>
          <w:sz w:val="18"/>
          <w:szCs w:val="18"/>
        </w:rPr>
        <w:t>Jawa Barat-Indonesia</w:t>
      </w:r>
      <w:r>
        <w:rPr>
          <w:rFonts w:eastAsia="Times"/>
          <w:sz w:val="18"/>
          <w:szCs w:val="18"/>
          <w:vertAlign w:val="superscript"/>
        </w:rPr>
        <w:t>5</w:t>
      </w:r>
      <w:r>
        <w:rPr>
          <w:rFonts w:eastAsia="Times"/>
          <w:sz w:val="18"/>
          <w:szCs w:val="18"/>
        </w:rPr>
        <w:t>, Universitas Negeri Surabaya, Jawa Timur-Indonesia</w:t>
      </w:r>
      <w:r>
        <w:rPr>
          <w:rFonts w:eastAsia="Times"/>
          <w:sz w:val="18"/>
          <w:szCs w:val="18"/>
          <w:vertAlign w:val="superscript"/>
        </w:rPr>
        <w:t>6</w:t>
      </w:r>
      <w:r>
        <w:rPr>
          <w:rFonts w:eastAsia="Times"/>
          <w:sz w:val="18"/>
          <w:szCs w:val="18"/>
        </w:rPr>
        <w:t>, Universitas Negeri Gorontalo, Gorontalo-Indonesia</w:t>
      </w:r>
      <w:r>
        <w:rPr>
          <w:rFonts w:eastAsia="Times"/>
          <w:sz w:val="18"/>
          <w:szCs w:val="18"/>
          <w:vertAlign w:val="superscript"/>
        </w:rPr>
        <w:t>7</w:t>
      </w:r>
    </w:p>
    <w:p w14:paraId="4300ED09" w14:textId="77777777" w:rsidR="00513F54" w:rsidRPr="0042530D" w:rsidRDefault="00513F54">
      <w:pPr>
        <w:ind w:firstLine="227"/>
        <w:jc w:val="center"/>
      </w:pPr>
    </w:p>
    <w:p w14:paraId="24DCB93F" w14:textId="6181B248" w:rsidR="00513F54" w:rsidRPr="00513F54" w:rsidRDefault="008153B4" w:rsidP="00513F54">
      <w:pPr>
        <w:jc w:val="both"/>
        <w:rPr>
          <w:sz w:val="18"/>
          <w:lang w:val="en-ID"/>
        </w:rPr>
      </w:pPr>
      <w:r w:rsidRPr="0042530D">
        <w:rPr>
          <w:rFonts w:eastAsia="Times"/>
          <w:b/>
          <w:sz w:val="18"/>
          <w:szCs w:val="18"/>
        </w:rPr>
        <w:t>Abstract.</w:t>
      </w:r>
      <w:r w:rsidRPr="0042530D">
        <w:rPr>
          <w:rFonts w:eastAsia="Times"/>
          <w:sz w:val="18"/>
          <w:szCs w:val="18"/>
        </w:rPr>
        <w:t xml:space="preserve"> </w:t>
      </w:r>
      <w:r w:rsidR="00513F54" w:rsidRPr="00513F54">
        <w:rPr>
          <w:sz w:val="18"/>
        </w:rPr>
        <w:t>The purpose of this study was to develop an instrument to measure pre-service teacher's personality competence in the insdustrial revolution 4.0. The case-based instruments form the main part of the pre-service teacher's competence evaluation model (undergraduate students of educati</w:t>
      </w:r>
      <w:r w:rsidR="00367F53">
        <w:rPr>
          <w:sz w:val="18"/>
        </w:rPr>
        <w:t>o</w:t>
      </w:r>
      <w:r w:rsidR="00513F54" w:rsidRPr="00513F54">
        <w:rPr>
          <w:sz w:val="18"/>
        </w:rPr>
        <w:t>nal studies)</w:t>
      </w:r>
      <w:r w:rsidR="00513F54" w:rsidRPr="00513F54">
        <w:rPr>
          <w:sz w:val="18"/>
          <w:lang w:val="en-ID"/>
        </w:rPr>
        <w:t xml:space="preserve">. </w:t>
      </w:r>
      <w:r w:rsidR="00513F54" w:rsidRPr="00513F54">
        <w:rPr>
          <w:sz w:val="18"/>
        </w:rPr>
        <w:t xml:space="preserve">The measurement results can be used as reccomendation for the curriculum designers and the lecturers of the undergraduate of educational studies level. This research was conducted at </w:t>
      </w:r>
      <w:proofErr w:type="spellStart"/>
      <w:r w:rsidR="00513F54" w:rsidRPr="00513F54">
        <w:rPr>
          <w:sz w:val="18"/>
          <w:lang w:val="en-ID"/>
        </w:rPr>
        <w:t>Universitas</w:t>
      </w:r>
      <w:proofErr w:type="spellEnd"/>
      <w:r w:rsidR="00513F54" w:rsidRPr="00513F54">
        <w:rPr>
          <w:sz w:val="18"/>
          <w:lang w:val="en-ID"/>
        </w:rPr>
        <w:t xml:space="preserve"> </w:t>
      </w:r>
      <w:proofErr w:type="spellStart"/>
      <w:r w:rsidR="00513F54" w:rsidRPr="00513F54">
        <w:rPr>
          <w:sz w:val="18"/>
          <w:lang w:val="en-ID"/>
        </w:rPr>
        <w:t>Negeri</w:t>
      </w:r>
      <w:proofErr w:type="spellEnd"/>
      <w:r w:rsidR="00513F54" w:rsidRPr="00513F54">
        <w:rPr>
          <w:sz w:val="18"/>
          <w:lang w:val="en-ID"/>
        </w:rPr>
        <w:t xml:space="preserve"> Yogyakarta</w:t>
      </w:r>
      <w:r w:rsidR="00513F54" w:rsidRPr="00513F54">
        <w:rPr>
          <w:sz w:val="18"/>
        </w:rPr>
        <w:t xml:space="preserve"> with 107 student respondents. The draft instrument consists of five factors and has 34 items. The instrument draft was validated with content validity using the Aiken formula, construct validity using exploratory factor analysis continued with confirmatory factor analysis, while reliability was estimated using the Cronbach Alpha technique. The result showed that the instrument used to measure the pre-service teacher's personality competence in the insdustrial revolution 4.0 had 29 items that grouped into five factors, </w:t>
      </w:r>
      <w:r w:rsidR="00513F54" w:rsidRPr="00513F54">
        <w:rPr>
          <w:sz w:val="18"/>
          <w:lang w:val="en-ID"/>
        </w:rPr>
        <w:t>namely</w:t>
      </w:r>
      <w:r w:rsidR="00513F54" w:rsidRPr="00513F54">
        <w:rPr>
          <w:sz w:val="18"/>
        </w:rPr>
        <w:t xml:space="preserve">: (1) act according to the norm,  (2) present themselves as individuals who can be role models, (3) present themselves as individuals who are steady and authoritative; (4) show a high work ethic and responsibility, </w:t>
      </w:r>
      <w:r w:rsidR="00513F54" w:rsidRPr="00513F54">
        <w:rPr>
          <w:sz w:val="18"/>
          <w:lang w:val="en-ID"/>
        </w:rPr>
        <w:t>and</w:t>
      </w:r>
      <w:r w:rsidR="00513F54" w:rsidRPr="00513F54">
        <w:rPr>
          <w:sz w:val="18"/>
        </w:rPr>
        <w:t xml:space="preserve"> (5) uphold the code of ethics of the teaching profession. The instrument developed has high validity and reliability</w:t>
      </w:r>
      <w:r w:rsidR="00513F54" w:rsidRPr="00513F54">
        <w:rPr>
          <w:sz w:val="18"/>
          <w:lang w:val="en-ID"/>
        </w:rPr>
        <w:t>.</w:t>
      </w:r>
    </w:p>
    <w:p w14:paraId="22C0D2BB" w14:textId="6847FAB9" w:rsidR="00274BE6" w:rsidRPr="0042530D" w:rsidRDefault="008153B4" w:rsidP="00CB6B26">
      <w:pPr>
        <w:spacing w:before="400" w:after="120"/>
        <w:ind w:right="-58"/>
        <w:jc w:val="both"/>
      </w:pPr>
      <w:r w:rsidRPr="0042530D">
        <w:rPr>
          <w:rFonts w:eastAsia="Times"/>
          <w:b/>
          <w:sz w:val="18"/>
          <w:szCs w:val="18"/>
        </w:rPr>
        <w:t xml:space="preserve">Keywords: </w:t>
      </w:r>
      <w:r w:rsidR="00513F54" w:rsidRPr="00513F54">
        <w:rPr>
          <w:sz w:val="18"/>
        </w:rPr>
        <w:t>Instrumen</w:t>
      </w:r>
      <w:r w:rsidR="00513F54" w:rsidRPr="00513F54">
        <w:rPr>
          <w:sz w:val="18"/>
          <w:lang w:val="en-ID"/>
        </w:rPr>
        <w:t>t</w:t>
      </w:r>
      <w:r w:rsidR="00513F54" w:rsidRPr="00513F54">
        <w:rPr>
          <w:sz w:val="18"/>
        </w:rPr>
        <w:t xml:space="preserve">, </w:t>
      </w:r>
      <w:r w:rsidR="00513F54" w:rsidRPr="00513F54">
        <w:rPr>
          <w:sz w:val="18"/>
          <w:lang w:val="en-ID"/>
        </w:rPr>
        <w:t>pre-service teacher’s personality competen</w:t>
      </w:r>
      <w:r w:rsidR="00513F54">
        <w:rPr>
          <w:sz w:val="18"/>
          <w:lang w:val="en-ID"/>
        </w:rPr>
        <w:t>ce in the industrial revolution</w:t>
      </w:r>
      <w:r w:rsidR="00CB6B26">
        <w:rPr>
          <w:sz w:val="18"/>
          <w:lang w:val="en-ID"/>
        </w:rPr>
        <w:t xml:space="preserve"> </w:t>
      </w:r>
      <w:r w:rsidR="00513F54" w:rsidRPr="00513F54">
        <w:rPr>
          <w:sz w:val="18"/>
          <w:lang w:val="en-ID"/>
        </w:rPr>
        <w:t>4.0.</w:t>
      </w:r>
    </w:p>
    <w:p w14:paraId="5A611252" w14:textId="698B1BAF" w:rsidR="00274BE6" w:rsidRPr="0042530D" w:rsidRDefault="008153B4">
      <w:pPr>
        <w:keepNext/>
        <w:keepLines/>
        <w:tabs>
          <w:tab w:val="left" w:pos="454"/>
        </w:tabs>
        <w:spacing w:before="520" w:after="280"/>
        <w:jc w:val="both"/>
      </w:pPr>
      <w:r w:rsidRPr="0042530D">
        <w:rPr>
          <w:rFonts w:eastAsia="Times"/>
          <w:b/>
          <w:sz w:val="24"/>
          <w:szCs w:val="24"/>
        </w:rPr>
        <w:t>Introduction</w:t>
      </w:r>
    </w:p>
    <w:p w14:paraId="04ED6A1D" w14:textId="33691E15" w:rsidR="00513F54" w:rsidRPr="00647B04" w:rsidRDefault="00513F54" w:rsidP="007D3C62">
      <w:pPr>
        <w:ind w:firstLine="360"/>
        <w:jc w:val="both"/>
      </w:pPr>
      <w:r w:rsidRPr="00647B04">
        <w:t xml:space="preserve">In the era of the industrial revolution 4.0, the demand for qualified teachers, especially those with good personalities, must be fulfilled immediately. The facts show that there are still teachers who have </w:t>
      </w:r>
      <w:r w:rsidRPr="007D3C62">
        <w:rPr>
          <w:rFonts w:eastAsia="Times"/>
        </w:rPr>
        <w:t>personalities</w:t>
      </w:r>
      <w:r w:rsidRPr="00647B04">
        <w:t xml:space="preserve"> who do not deserve to be role models</w:t>
      </w:r>
      <w:r w:rsidRPr="00647B04">
        <w:rPr>
          <w:lang w:val="en-ID"/>
        </w:rPr>
        <w:t xml:space="preserve">. </w:t>
      </w:r>
      <w:r w:rsidRPr="00647B04">
        <w:t xml:space="preserve">For example, the results of Kartowagiran's research </w:t>
      </w:r>
      <w:r w:rsidR="00CE5B79">
        <w:t>[1]</w:t>
      </w:r>
      <w:r w:rsidRPr="00647B04">
        <w:t xml:space="preserve"> show that there are still teachers who cannot give satisfying answers when asked by students, instead the teacher's response makes students embarrassed. This is in line with Primardiana's research </w:t>
      </w:r>
      <w:r w:rsidR="00CE5B79">
        <w:t>[2]</w:t>
      </w:r>
      <w:r w:rsidRPr="00647B04">
        <w:t xml:space="preserve"> which found that when teaching in class, the facial expressions of German language teachers were less pleasant. Therefore the teacher's personality must be prepared from the beginning, that is since undergraduate students of educational studies level. They must be </w:t>
      </w:r>
      <w:r w:rsidRPr="00647B04">
        <w:rPr>
          <w:lang w:val="en-ID"/>
        </w:rPr>
        <w:t>coached</w:t>
      </w:r>
      <w:r w:rsidRPr="00647B04">
        <w:t xml:space="preserve"> so that later they have a good personality and have the ability needed in insdustrial revolution 4.0</w:t>
      </w:r>
      <w:r w:rsidRPr="00647B04">
        <w:rPr>
          <w:lang w:val="en-ID"/>
        </w:rPr>
        <w:t xml:space="preserve">. </w:t>
      </w:r>
      <w:r w:rsidRPr="00647B04">
        <w:t xml:space="preserve">The </w:t>
      </w:r>
      <w:r w:rsidRPr="00647B04">
        <w:rPr>
          <w:lang w:val="en-ID"/>
        </w:rPr>
        <w:t>coaching</w:t>
      </w:r>
      <w:r w:rsidRPr="00647B04">
        <w:t xml:space="preserve"> of pre-service teacher is carried out in education, namely pre-service teacher education at undergraduate level.</w:t>
      </w:r>
    </w:p>
    <w:p w14:paraId="230C8266" w14:textId="56A87C99" w:rsidR="00513F54" w:rsidRPr="00647B04" w:rsidRDefault="00513F54" w:rsidP="007D3C62">
      <w:pPr>
        <w:ind w:firstLine="360"/>
        <w:jc w:val="both"/>
      </w:pPr>
      <w:r w:rsidRPr="00647B04">
        <w:rPr>
          <w:bCs/>
          <w:iCs/>
          <w:spacing w:val="5"/>
        </w:rPr>
        <w:t xml:space="preserve">According to Jones </w:t>
      </w:r>
      <w:r w:rsidR="009652DB">
        <w:rPr>
          <w:bCs/>
          <w:iCs/>
          <w:spacing w:val="5"/>
        </w:rPr>
        <w:t>[3]</w:t>
      </w:r>
      <w:r w:rsidRPr="00647B04">
        <w:rPr>
          <w:bCs/>
          <w:iCs/>
          <w:spacing w:val="5"/>
        </w:rPr>
        <w:t xml:space="preserve">, education in the twenty-first century prioritizes individual and social development, as well as adequate skills complemented by the ability to think </w:t>
      </w:r>
      <w:r w:rsidRPr="00647B04">
        <w:rPr>
          <w:bCs/>
          <w:iCs/>
          <w:spacing w:val="5"/>
        </w:rPr>
        <w:lastRenderedPageBreak/>
        <w:t>critically, creatively, adaptability and entrepreneurship.</w:t>
      </w:r>
      <w:r w:rsidRPr="00647B04">
        <w:rPr>
          <w:bCs/>
          <w:iCs/>
          <w:spacing w:val="5"/>
          <w:lang w:val="en-ID"/>
        </w:rPr>
        <w:t xml:space="preserve"> </w:t>
      </w:r>
      <w:r w:rsidRPr="00647B04">
        <w:rPr>
          <w:lang w:eastAsia="id-ID"/>
        </w:rPr>
        <w:t xml:space="preserve">This is in line with the World Economic Forum/WEF </w:t>
      </w:r>
      <w:r w:rsidR="00AC6A28">
        <w:rPr>
          <w:lang w:eastAsia="id-ID"/>
        </w:rPr>
        <w:t>[4]</w:t>
      </w:r>
      <w:r w:rsidRPr="00647B04">
        <w:rPr>
          <w:lang w:eastAsia="id-ID"/>
        </w:rPr>
        <w:t xml:space="preserve"> which explains </w:t>
      </w:r>
      <w:r w:rsidRPr="00647B04">
        <w:rPr>
          <w:i/>
        </w:rPr>
        <w:t>“the top ten skills that will be needed in order of priority by employers by 2020 are: complex problem solving, critical thinking, creativity, people management, coordinating with others, emotional intelligence, judgment and decision making, service orientation, negotiation, and cognitive flexibility”.</w:t>
      </w:r>
      <w:r w:rsidRPr="00647B04">
        <w:t xml:space="preserve"> In addition, teachers in the industrial revolution 4.0 must also understand the three literacies, namely digital literacy, data literacy, and humanity literacy.</w:t>
      </w:r>
    </w:p>
    <w:p w14:paraId="31F34ECF" w14:textId="7CACDDD7" w:rsidR="00513F54" w:rsidRPr="00647B04" w:rsidRDefault="00513F54" w:rsidP="007D3C62">
      <w:pPr>
        <w:ind w:firstLine="360"/>
        <w:jc w:val="both"/>
      </w:pPr>
      <w:r w:rsidRPr="00647B04">
        <w:t xml:space="preserve">Coaching materilas for the pre-service teachers who are currenly studying at the </w:t>
      </w:r>
      <w:r w:rsidRPr="00647B04">
        <w:rPr>
          <w:lang w:val="en-ID"/>
        </w:rPr>
        <w:t xml:space="preserve">Educational Institutions and Educational </w:t>
      </w:r>
      <w:r w:rsidRPr="007D3C62">
        <w:rPr>
          <w:i/>
        </w:rPr>
        <w:t>Personnels</w:t>
      </w:r>
      <w:r w:rsidRPr="00647B04">
        <w:rPr>
          <w:lang w:val="en-ID"/>
        </w:rPr>
        <w:t xml:space="preserve"> or </w:t>
      </w:r>
      <w:r w:rsidRPr="00647B04">
        <w:rPr>
          <w:i/>
        </w:rPr>
        <w:t>Lembaga Pendidikan dan Tenaga Kependidikan</w:t>
      </w:r>
      <w:r w:rsidRPr="00647B04">
        <w:t xml:space="preserve"> (LPTK) is teacher competence, especially personality competence. The term of personality comes from the Latin, namely </w:t>
      </w:r>
      <w:r w:rsidRPr="00647B04">
        <w:rPr>
          <w:i/>
        </w:rPr>
        <w:t>persona</w:t>
      </w:r>
      <w:r w:rsidR="0080035E">
        <w:rPr>
          <w:i/>
        </w:rPr>
        <w:t>l</w:t>
      </w:r>
      <w:r w:rsidRPr="00647B04">
        <w:t xml:space="preserve"> or mask used by actors in a game or performance. In the concept of general society, the term personality is used to describe a person's identity in the form of behavior exhibited in a social environment, a person's general impression of </w:t>
      </w:r>
      <w:bookmarkStart w:id="0" w:name="_GoBack"/>
      <w:bookmarkEnd w:id="0"/>
      <w:r w:rsidRPr="00647B04">
        <w:t>yourself or others, and healthy or problematic personality functions.</w:t>
      </w:r>
    </w:p>
    <w:p w14:paraId="5E23272D" w14:textId="7628EACF" w:rsidR="00513F54" w:rsidRPr="00647B04" w:rsidRDefault="00513F54" w:rsidP="007D3C62">
      <w:pPr>
        <w:ind w:firstLine="360"/>
        <w:jc w:val="both"/>
        <w:rPr>
          <w:lang w:val="en-ID"/>
        </w:rPr>
      </w:pPr>
      <w:r w:rsidRPr="00647B04">
        <w:t xml:space="preserve">According to Allport </w:t>
      </w:r>
      <w:r w:rsidR="00AC6A28">
        <w:t>[5]</w:t>
      </w:r>
      <w:r w:rsidRPr="00647B04">
        <w:t>, personality is a dynamic organization of individual physical psycho systems to adapt to their environment in unique ways.</w:t>
      </w:r>
      <w:r w:rsidRPr="00647B04">
        <w:rPr>
          <w:lang w:val="en-ID"/>
        </w:rPr>
        <w:t xml:space="preserve"> Meanwhile, Cattel </w:t>
      </w:r>
      <w:r w:rsidR="00AC6A28">
        <w:rPr>
          <w:lang w:val="en-ID"/>
        </w:rPr>
        <w:t>[6]</w:t>
      </w:r>
      <w:r w:rsidRPr="00647B04">
        <w:rPr>
          <w:lang w:val="en-ID"/>
        </w:rPr>
        <w:t xml:space="preserve"> states that personality is a matter that determines </w:t>
      </w:r>
      <w:proofErr w:type="spellStart"/>
      <w:r w:rsidRPr="00647B04">
        <w:rPr>
          <w:lang w:val="en-ID"/>
        </w:rPr>
        <w:t>behavior</w:t>
      </w:r>
      <w:proofErr w:type="spellEnd"/>
      <w:r w:rsidRPr="00647B04">
        <w:rPr>
          <w:lang w:val="en-ID"/>
        </w:rPr>
        <w:t xml:space="preserve"> in a given situation and in a determined mental awareness</w:t>
      </w:r>
      <w:r w:rsidRPr="006F4AED">
        <w:rPr>
          <w:lang w:val="en-ID"/>
        </w:rPr>
        <w:t>. Burger</w:t>
      </w:r>
      <w:r w:rsidR="006F4AED" w:rsidRPr="006F4AED">
        <w:rPr>
          <w:lang w:val="en-ID"/>
        </w:rPr>
        <w:t xml:space="preserve"> </w:t>
      </w:r>
      <w:r w:rsidR="00AC6A28" w:rsidRPr="006F4AED">
        <w:rPr>
          <w:lang w:val="en-ID"/>
        </w:rPr>
        <w:t>[7]</w:t>
      </w:r>
      <w:r w:rsidRPr="00647B04">
        <w:rPr>
          <w:lang w:val="en-ID"/>
        </w:rPr>
        <w:t xml:space="preserve"> defines personality as original patterns of </w:t>
      </w:r>
      <w:proofErr w:type="spellStart"/>
      <w:r w:rsidRPr="00647B04">
        <w:rPr>
          <w:lang w:val="en-ID"/>
        </w:rPr>
        <w:t>behavior</w:t>
      </w:r>
      <w:proofErr w:type="spellEnd"/>
      <w:r w:rsidRPr="00647B04">
        <w:rPr>
          <w:lang w:val="en-ID"/>
        </w:rPr>
        <w:t xml:space="preserve"> that persist in individuals.</w:t>
      </w:r>
    </w:p>
    <w:p w14:paraId="05A2CA3C" w14:textId="1BB7D652" w:rsidR="00513F54" w:rsidRPr="00647B04" w:rsidRDefault="00513F54" w:rsidP="007D3C62">
      <w:pPr>
        <w:ind w:firstLine="360"/>
        <w:jc w:val="both"/>
        <w:rPr>
          <w:lang w:val="en-ID"/>
        </w:rPr>
      </w:pPr>
      <w:r w:rsidRPr="00647B04">
        <w:rPr>
          <w:lang w:val="en-ID"/>
        </w:rPr>
        <w:t xml:space="preserve">Atkinson </w:t>
      </w:r>
      <w:r w:rsidR="00AC6A28">
        <w:rPr>
          <w:lang w:val="en-ID"/>
        </w:rPr>
        <w:t>[8]</w:t>
      </w:r>
      <w:r w:rsidRPr="00647B04">
        <w:rPr>
          <w:lang w:val="en-ID"/>
        </w:rPr>
        <w:t xml:space="preserve"> argues that personality is a different form of thought patterns, emotions, and </w:t>
      </w:r>
      <w:proofErr w:type="spellStart"/>
      <w:r w:rsidRPr="00647B04">
        <w:rPr>
          <w:lang w:val="en-ID"/>
        </w:rPr>
        <w:t>behavior</w:t>
      </w:r>
      <w:proofErr w:type="spellEnd"/>
      <w:r w:rsidRPr="00647B04">
        <w:rPr>
          <w:lang w:val="en-ID"/>
        </w:rPr>
        <w:t xml:space="preserve"> and is a characteristic that determines an individual's personal style and influences their interactions with the environment. The definitions of personality above can be interpreted as an outward manifestation of someone even though it does not necessarily describe the actual situation, the ability of a person to adapt to their field of work, the quality of themself or the nature of them that shows their position and lifestyle. </w:t>
      </w:r>
    </w:p>
    <w:p w14:paraId="51350DF4" w14:textId="6FF4A8AA" w:rsidR="00513F54" w:rsidRPr="00647B04" w:rsidRDefault="00513F54" w:rsidP="007D3C62">
      <w:pPr>
        <w:ind w:firstLine="360"/>
        <w:jc w:val="both"/>
        <w:rPr>
          <w:lang w:val="en-ID"/>
        </w:rPr>
      </w:pPr>
      <w:r w:rsidRPr="00647B04">
        <w:rPr>
          <w:lang w:val="en-ID"/>
        </w:rPr>
        <w:t>A mature personality according to Allport</w:t>
      </w:r>
      <w:r w:rsidR="00376FEF">
        <w:rPr>
          <w:lang w:val="en-ID"/>
        </w:rPr>
        <w:t xml:space="preserve"> [9]</w:t>
      </w:r>
      <w:r w:rsidRPr="00647B04">
        <w:rPr>
          <w:lang w:val="en-ID"/>
        </w:rPr>
        <w:t xml:space="preserve"> is an individual who directs his attention and efforts for the common interest; individuals who are able to see their abilities objectively; and individuals who have a philosophy of life. This is in line with </w:t>
      </w:r>
      <w:r w:rsidRPr="00376FEF">
        <w:rPr>
          <w:lang w:val="en-ID"/>
        </w:rPr>
        <w:t>Hurlock</w:t>
      </w:r>
      <w:r w:rsidR="00376FEF" w:rsidRPr="00376FEF">
        <w:rPr>
          <w:lang w:val="en-ID"/>
        </w:rPr>
        <w:t xml:space="preserve"> [10]</w:t>
      </w:r>
      <w:r w:rsidRPr="00647B04">
        <w:rPr>
          <w:lang w:val="en-ID"/>
        </w:rPr>
        <w:t xml:space="preserve"> which states that a steady personality can be seen including: being able to judge themself; assess the situation; assessing achievement; accept responsibility; independence; able to control emotions; goal oriented; social acceptance; have a philosophy of life; and happy.</w:t>
      </w:r>
    </w:p>
    <w:p w14:paraId="7B651F48" w14:textId="22717F10" w:rsidR="00513F54" w:rsidRPr="00647B04" w:rsidRDefault="00513F54" w:rsidP="007D3C62">
      <w:pPr>
        <w:ind w:firstLine="360"/>
        <w:jc w:val="both"/>
        <w:rPr>
          <w:lang w:val="en-ID"/>
        </w:rPr>
      </w:pPr>
      <w:r w:rsidRPr="00647B04">
        <w:rPr>
          <w:lang w:val="en-ID"/>
        </w:rPr>
        <w:t xml:space="preserve">Meanwhile, </w:t>
      </w:r>
      <w:proofErr w:type="spellStart"/>
      <w:r w:rsidRPr="00647B04">
        <w:rPr>
          <w:lang w:val="en-ID"/>
        </w:rPr>
        <w:t>Premuzic</w:t>
      </w:r>
      <w:proofErr w:type="spellEnd"/>
      <w:r w:rsidRPr="00647B04">
        <w:rPr>
          <w:lang w:val="en-ID"/>
        </w:rPr>
        <w:t xml:space="preserve"> and </w:t>
      </w:r>
      <w:proofErr w:type="spellStart"/>
      <w:r w:rsidRPr="00647B04">
        <w:rPr>
          <w:lang w:val="en-ID"/>
        </w:rPr>
        <w:t>Furnham</w:t>
      </w:r>
      <w:proofErr w:type="spellEnd"/>
      <w:r w:rsidRPr="00647B04">
        <w:rPr>
          <w:lang w:val="en-ID"/>
        </w:rPr>
        <w:t xml:space="preserve"> </w:t>
      </w:r>
      <w:r w:rsidR="00376FEF">
        <w:rPr>
          <w:lang w:val="en-ID"/>
        </w:rPr>
        <w:t>[11]</w:t>
      </w:r>
      <w:r w:rsidRPr="00647B04">
        <w:rPr>
          <w:lang w:val="en-ID"/>
        </w:rPr>
        <w:t xml:space="preserve"> state that personality is used to describe and explain the </w:t>
      </w:r>
      <w:proofErr w:type="spellStart"/>
      <w:r w:rsidRPr="00647B04">
        <w:rPr>
          <w:lang w:val="en-ID"/>
        </w:rPr>
        <w:t>behavior</w:t>
      </w:r>
      <w:proofErr w:type="spellEnd"/>
      <w:r w:rsidRPr="00647B04">
        <w:rPr>
          <w:lang w:val="en-ID"/>
        </w:rPr>
        <w:t xml:space="preserve"> and internal characteristics of a situation or context. Personality emphasizes the differences in individual characteristics and elaborates the taxonomy of personality, for example the classification of temperament. Personality theorists have sought to identify, assess, explain and predict systems of differences and similarities between individuals, looking for fundamental and general causes of human </w:t>
      </w:r>
      <w:proofErr w:type="spellStart"/>
      <w:r w:rsidRPr="00647B04">
        <w:rPr>
          <w:lang w:val="en-ID"/>
        </w:rPr>
        <w:t>behavior</w:t>
      </w:r>
      <w:proofErr w:type="spellEnd"/>
      <w:r w:rsidRPr="00647B04">
        <w:rPr>
          <w:lang w:val="en-ID"/>
        </w:rPr>
        <w:t xml:space="preserve">. Specifically, they aim to (a) identify dimensions and things in different or comparable people, (b) test that these dimensions have remained relatively stable over time, and (c) explain the etiological basis of universal and stable differences between individuals. </w:t>
      </w:r>
    </w:p>
    <w:p w14:paraId="716DFE98" w14:textId="74A2F816" w:rsidR="00513F54" w:rsidRPr="00647B04" w:rsidRDefault="00513F54" w:rsidP="007D3C62">
      <w:pPr>
        <w:ind w:firstLine="360"/>
        <w:jc w:val="both"/>
        <w:rPr>
          <w:lang w:val="en-ID"/>
        </w:rPr>
      </w:pPr>
      <w:r w:rsidRPr="00647B04">
        <w:rPr>
          <w:lang w:val="en-ID"/>
        </w:rPr>
        <w:t>Meanwhile, in the Constitution of The Republic of Indonesia</w:t>
      </w:r>
      <w:r w:rsidR="00376FEF">
        <w:rPr>
          <w:lang w:val="en-ID"/>
        </w:rPr>
        <w:t xml:space="preserve"> [12]</w:t>
      </w:r>
      <w:r w:rsidRPr="00647B04">
        <w:rPr>
          <w:lang w:val="en-ID"/>
        </w:rPr>
        <w:t>, it is explained that personality competence is a strong, noble, wise, and authoritative personality ability and is a role model for students. This personality competence is clarified in Minister of National Education Regulation No. 16 of 2007 regarding Teacher Competence Standards</w:t>
      </w:r>
      <w:r w:rsidR="00376FEF">
        <w:rPr>
          <w:lang w:val="en-ID"/>
        </w:rPr>
        <w:t xml:space="preserve"> [13]</w:t>
      </w:r>
      <w:r w:rsidRPr="00647B04">
        <w:rPr>
          <w:lang w:val="en-ID"/>
        </w:rPr>
        <w:t xml:space="preserve">, it is stated that the personality competence includes five indicators, namely: (1) act in accordance with Indonesian national religious, legal, social and cultural norms; (2) presents themselves as honest, noble, and role models for students and the community; (3) present themselves as a stable, mature, wise, and authoritative person; (4) shows work ethic, high responsibility, pride </w:t>
      </w:r>
      <w:r w:rsidRPr="00647B04">
        <w:rPr>
          <w:lang w:val="en-ID"/>
        </w:rPr>
        <w:lastRenderedPageBreak/>
        <w:t xml:space="preserve">in being a teacher, and self-confidence; and (5) upholds the code of ethics of the teaching profession. </w:t>
      </w:r>
    </w:p>
    <w:p w14:paraId="23CD0D93" w14:textId="77777777" w:rsidR="00513F54" w:rsidRPr="00647B04" w:rsidRDefault="00513F54" w:rsidP="007D3C62">
      <w:pPr>
        <w:ind w:firstLine="360"/>
        <w:jc w:val="both"/>
        <w:rPr>
          <w:lang w:val="en-ID"/>
        </w:rPr>
      </w:pPr>
      <w:r w:rsidRPr="00647B04">
        <w:rPr>
          <w:lang w:val="en-ID"/>
        </w:rPr>
        <w:t xml:space="preserve">The measurement of the pre-service teacher's personality competence in the industrial revolution 4.0 is important to do first in order to do coaching appropriately. But unfortunately, there are no instruments that can be used to measure it. Therefore, this study aims to develop valid and reliable instruments to measure the pre-service teacher's personality competence in the industrial revolution 4.0. </w:t>
      </w:r>
    </w:p>
    <w:p w14:paraId="37C6B826" w14:textId="5F883861" w:rsidR="007D3C62" w:rsidRPr="007D3C62" w:rsidRDefault="007D3C62" w:rsidP="007D3C62">
      <w:pPr>
        <w:keepNext/>
        <w:keepLines/>
        <w:tabs>
          <w:tab w:val="left" w:pos="454"/>
        </w:tabs>
        <w:spacing w:before="520" w:after="280"/>
        <w:jc w:val="both"/>
        <w:rPr>
          <w:color w:val="auto"/>
          <w:lang w:val="en-US" w:eastAsia="en-US"/>
        </w:rPr>
      </w:pPr>
      <w:r w:rsidRPr="007D3C62">
        <w:rPr>
          <w:rFonts w:eastAsia="Times"/>
          <w:b/>
          <w:sz w:val="24"/>
          <w:szCs w:val="24"/>
        </w:rPr>
        <w:t>Research</w:t>
      </w:r>
      <w:r w:rsidRPr="007D3C62">
        <w:rPr>
          <w:b/>
          <w:color w:val="auto"/>
          <w:sz w:val="24"/>
          <w:szCs w:val="24"/>
          <w:lang w:val="en-ID" w:eastAsia="en-US"/>
        </w:rPr>
        <w:t xml:space="preserve"> Methods</w:t>
      </w:r>
    </w:p>
    <w:p w14:paraId="5D935C13" w14:textId="77777777" w:rsidR="007D3C62" w:rsidRPr="007D3C62" w:rsidRDefault="007D3C62" w:rsidP="007D3C62">
      <w:pPr>
        <w:ind w:firstLine="360"/>
        <w:jc w:val="both"/>
        <w:rPr>
          <w:lang w:val="en-ID" w:eastAsia="en-US"/>
        </w:rPr>
      </w:pPr>
      <w:r w:rsidRPr="007D3C62">
        <w:rPr>
          <w:color w:val="auto"/>
          <w:lang w:val="en-ID" w:eastAsia="en-US"/>
        </w:rPr>
        <w:t xml:space="preserve">This research is research development that develops an instrument to measure the pre-service teacher's personality competence in the industrial revolution 4.0. The procedure for developing this instrument is: 1) determining the objectives, 2) determine the scope, namely the teacher's personality that includes WEF's top ten which includes complex problem solving, critical thinking, </w:t>
      </w:r>
      <w:r w:rsidRPr="007D3C62">
        <w:rPr>
          <w:lang w:val="en-ID"/>
        </w:rPr>
        <w:t>creativity</w:t>
      </w:r>
      <w:r w:rsidRPr="007D3C62">
        <w:rPr>
          <w:color w:val="auto"/>
          <w:lang w:val="en-ID" w:eastAsia="en-US"/>
        </w:rPr>
        <w:t xml:space="preserve">, people management, coordinating with others, emotional intelligence, judgment and decision making, service orientation, negotiation, and cognitive flexibility; also includes three literacies namely digital literacy, data literacy, and humanity literacy, 3) compiling a grid that can be used as a guide so that the items of the instrument include personality competencies, WEF's top ten, and three literacies, 4) writing instrument items, 5) </w:t>
      </w:r>
      <w:r w:rsidRPr="007D3C62">
        <w:rPr>
          <w:lang w:val="en-AU" w:eastAsia="en-US"/>
        </w:rPr>
        <w:t>focus group discussion (FGD)</w:t>
      </w:r>
      <w:r w:rsidRPr="007D3C62">
        <w:rPr>
          <w:lang w:val="en-ID" w:eastAsia="en-US"/>
        </w:rPr>
        <w:t xml:space="preserve">, 6) instrument readability test and revision, 7) instrument trials, and 8) revision and assembly. </w:t>
      </w:r>
    </w:p>
    <w:p w14:paraId="79402FAC" w14:textId="77777777" w:rsidR="007D3C62" w:rsidRPr="007D3C62" w:rsidRDefault="007D3C62" w:rsidP="007D3C62">
      <w:pPr>
        <w:ind w:firstLine="360"/>
        <w:jc w:val="both"/>
        <w:rPr>
          <w:color w:val="auto"/>
          <w:lang w:val="en-US" w:eastAsia="en-US"/>
        </w:rPr>
      </w:pPr>
      <w:r w:rsidRPr="007D3C62">
        <w:rPr>
          <w:color w:val="auto"/>
          <w:lang w:val="en-ID" w:eastAsia="en-US"/>
        </w:rPr>
        <w:t xml:space="preserve">The instrument items are arranged on a case-based, not the usual choice of answers. Meanwhile, the FGD was conducted by the Research Team by involving 15 experts in the fields of </w:t>
      </w:r>
      <w:r w:rsidRPr="007D3C62">
        <w:rPr>
          <w:lang w:val="en-ID"/>
        </w:rPr>
        <w:t>psychology</w:t>
      </w:r>
      <w:r w:rsidRPr="007D3C62">
        <w:rPr>
          <w:color w:val="auto"/>
          <w:lang w:val="en-ID" w:eastAsia="en-US"/>
        </w:rPr>
        <w:t xml:space="preserve">, education, and psychometrics. FGD participants gave corrections to the instrument. The correction was used to revise the instrument before it was tested. The instrument was tested on 107 fifth semester students majoring in Mathematics Education, Indonesian Language Education, and English Language Education. The trial data were </w:t>
      </w:r>
      <w:proofErr w:type="spellStart"/>
      <w:r w:rsidRPr="007D3C62">
        <w:rPr>
          <w:color w:val="auto"/>
          <w:lang w:val="en-ID" w:eastAsia="en-US"/>
        </w:rPr>
        <w:t>analyzed</w:t>
      </w:r>
      <w:proofErr w:type="spellEnd"/>
      <w:r w:rsidRPr="007D3C62">
        <w:rPr>
          <w:color w:val="auto"/>
          <w:lang w:val="en-ID" w:eastAsia="en-US"/>
        </w:rPr>
        <w:t xml:space="preserve"> by exploratory factor analysis (EFA) followed by confirmatory factor analysis (CFA).</w:t>
      </w:r>
    </w:p>
    <w:p w14:paraId="5FCA7157" w14:textId="5C1ACA4B" w:rsidR="007D3C62" w:rsidRPr="007D3C62" w:rsidRDefault="007D3C62" w:rsidP="007D3C62">
      <w:pPr>
        <w:keepNext/>
        <w:keepLines/>
        <w:tabs>
          <w:tab w:val="left" w:pos="454"/>
        </w:tabs>
        <w:spacing w:before="520" w:after="280"/>
        <w:jc w:val="both"/>
        <w:rPr>
          <w:color w:val="auto"/>
          <w:lang w:val="en-US" w:eastAsia="en-US"/>
        </w:rPr>
      </w:pPr>
      <w:r w:rsidRPr="007D3C62">
        <w:rPr>
          <w:b/>
          <w:color w:val="auto"/>
          <w:sz w:val="24"/>
          <w:szCs w:val="24"/>
          <w:lang w:val="en-ID" w:eastAsia="en-US"/>
        </w:rPr>
        <w:t>Results and Discussion</w:t>
      </w:r>
    </w:p>
    <w:p w14:paraId="2F0D5AF5" w14:textId="7F1D574E" w:rsidR="007D3C62" w:rsidRDefault="007D3C62" w:rsidP="00BD0F84">
      <w:pPr>
        <w:ind w:firstLine="360"/>
        <w:jc w:val="both"/>
        <w:rPr>
          <w:color w:val="auto"/>
          <w:lang w:val="en-ID" w:eastAsia="en-US"/>
        </w:rPr>
      </w:pPr>
      <w:r w:rsidRPr="007D3C62">
        <w:rPr>
          <w:color w:val="auto"/>
          <w:lang w:val="en-ID" w:eastAsia="en-US"/>
        </w:rPr>
        <w:t>The results of this study are instruments that will be used to measure the pre-service teacher's personality competence in the industrial revolution 4.0. This instrument was developed from five indicators, namely: (1) act in accordance with Indonesian national religious, legal, social and cultural norms; (2) presents themselves as honest, noble, and role models for students and the community; (3) present themselves as a stable, mature, wise, and authoritative person; (4) shows work ethic, high responsibility, pride in being a teacher, and self-confidence; and (5) upholds the code of ethics of the teaching profession. The instrument grid is shown in Table 1.</w:t>
      </w:r>
    </w:p>
    <w:p w14:paraId="23AB47F2" w14:textId="77777777" w:rsidR="00BD0F84" w:rsidRPr="00BD0F84" w:rsidRDefault="00BD0F84" w:rsidP="00BD0F84">
      <w:pPr>
        <w:ind w:firstLine="360"/>
        <w:jc w:val="both"/>
        <w:rPr>
          <w:color w:val="auto"/>
          <w:lang w:val="en-ID" w:eastAsia="en-US"/>
        </w:rPr>
      </w:pPr>
    </w:p>
    <w:p w14:paraId="14CC6782" w14:textId="49573127" w:rsidR="007D3C62" w:rsidRPr="005139D7" w:rsidRDefault="007D3C62" w:rsidP="00BD0F84">
      <w:pPr>
        <w:ind w:left="426"/>
        <w:jc w:val="both"/>
        <w:rPr>
          <w:bCs/>
          <w:color w:val="auto"/>
          <w:lang w:val="en-US" w:eastAsia="en-US"/>
        </w:rPr>
      </w:pPr>
      <w:r w:rsidRPr="007D3C62">
        <w:rPr>
          <w:bCs/>
          <w:color w:val="auto"/>
          <w:lang w:val="en-ID" w:eastAsia="en-US"/>
        </w:rPr>
        <w:t>Table 1.</w:t>
      </w:r>
      <w:r w:rsidR="00BD0F84">
        <w:rPr>
          <w:bCs/>
          <w:color w:val="auto"/>
          <w:lang w:val="en-ID" w:eastAsia="en-US"/>
        </w:rPr>
        <w:t xml:space="preserve"> </w:t>
      </w:r>
      <w:r w:rsidRPr="007D3C62">
        <w:rPr>
          <w:bCs/>
          <w:color w:val="auto"/>
          <w:lang w:val="en-ID" w:eastAsia="en-US"/>
        </w:rPr>
        <w:t>The Instrument Grid of Personality Competence</w:t>
      </w:r>
      <w:r w:rsidR="00BD0F84">
        <w:rPr>
          <w:bCs/>
          <w:color w:val="auto"/>
          <w:lang w:val="en-ID" w:eastAsia="en-US"/>
        </w:rPr>
        <w:t xml:space="preserve"> </w:t>
      </w:r>
      <w:r w:rsidRPr="007D3C62">
        <w:rPr>
          <w:color w:val="auto"/>
          <w:lang w:val="en-ID" w:eastAsia="en-US"/>
        </w:rPr>
        <w:t>World Economici Forum’s Top Ten</w:t>
      </w:r>
      <w:r w:rsidR="005139D7" w:rsidRPr="005139D7">
        <w:rPr>
          <w:color w:val="auto"/>
          <w:lang w:val="en-ID" w:eastAsia="en-US"/>
        </w:rPr>
        <w:t>-</w:t>
      </w:r>
      <w:r w:rsidRPr="007D3C62">
        <w:rPr>
          <w:color w:val="auto"/>
          <w:lang w:val="id-ID" w:eastAsia="en-US"/>
        </w:rPr>
        <w:t xml:space="preserve">Top ten </w:t>
      </w:r>
      <w:r w:rsidRPr="007D3C62">
        <w:rPr>
          <w:color w:val="auto"/>
          <w:lang w:val="en-US" w:eastAsia="en-US"/>
        </w:rPr>
        <w:t>from</w:t>
      </w:r>
      <w:r w:rsidRPr="007D3C62">
        <w:rPr>
          <w:color w:val="auto"/>
          <w:lang w:val="id-ID" w:eastAsia="en-US"/>
        </w:rPr>
        <w:t xml:space="preserve"> World Economic Forum/WE</w:t>
      </w:r>
      <w:r w:rsidR="005139D7">
        <w:rPr>
          <w:color w:val="auto"/>
          <w:lang w:val="en-US" w:eastAsia="en-US"/>
        </w:rPr>
        <w:t>F [18]</w:t>
      </w:r>
    </w:p>
    <w:tbl>
      <w:tblPr>
        <w:tblW w:w="12790" w:type="dxa"/>
        <w:tblInd w:w="392" w:type="dxa"/>
        <w:tblLayout w:type="fixed"/>
        <w:tblLook w:val="04A0" w:firstRow="1" w:lastRow="0" w:firstColumn="1" w:lastColumn="0" w:noHBand="0" w:noVBand="1"/>
      </w:tblPr>
      <w:tblGrid>
        <w:gridCol w:w="1527"/>
        <w:gridCol w:w="1733"/>
        <w:gridCol w:w="709"/>
        <w:gridCol w:w="992"/>
        <w:gridCol w:w="1134"/>
        <w:gridCol w:w="992"/>
        <w:gridCol w:w="48"/>
        <w:gridCol w:w="567"/>
        <w:gridCol w:w="5088"/>
      </w:tblGrid>
      <w:tr w:rsidR="007D3C62" w:rsidRPr="007D3C62" w14:paraId="121C2D76" w14:textId="77777777" w:rsidTr="004F2C4F">
        <w:tc>
          <w:tcPr>
            <w:tcW w:w="3260" w:type="dxa"/>
            <w:gridSpan w:val="2"/>
            <w:shd w:val="clear" w:color="auto" w:fill="auto"/>
          </w:tcPr>
          <w:p w14:paraId="36C0A1CC" w14:textId="77777777" w:rsidR="007D3C62" w:rsidRPr="007D3C62" w:rsidRDefault="007D3C62" w:rsidP="007D3C62">
            <w:pPr>
              <w:tabs>
                <w:tab w:val="left" w:pos="851"/>
              </w:tabs>
              <w:jc w:val="both"/>
              <w:rPr>
                <w:iCs/>
                <w:color w:val="auto"/>
                <w:lang w:val="id-ID" w:eastAsia="en-US"/>
              </w:rPr>
            </w:pPr>
          </w:p>
        </w:tc>
        <w:tc>
          <w:tcPr>
            <w:tcW w:w="4442" w:type="dxa"/>
            <w:gridSpan w:val="6"/>
            <w:shd w:val="clear" w:color="auto" w:fill="auto"/>
          </w:tcPr>
          <w:p w14:paraId="5B21D322" w14:textId="77777777" w:rsidR="007D3C62" w:rsidRPr="007D3C62" w:rsidRDefault="007D3C62" w:rsidP="007D3C62">
            <w:pPr>
              <w:tabs>
                <w:tab w:val="left" w:pos="851"/>
              </w:tabs>
              <w:ind w:hanging="2"/>
              <w:jc w:val="both"/>
              <w:rPr>
                <w:iCs/>
                <w:color w:val="auto"/>
                <w:lang w:val="en-AU" w:eastAsia="en-US"/>
              </w:rPr>
            </w:pPr>
          </w:p>
        </w:tc>
        <w:tc>
          <w:tcPr>
            <w:tcW w:w="5088" w:type="dxa"/>
            <w:shd w:val="clear" w:color="auto" w:fill="auto"/>
          </w:tcPr>
          <w:p w14:paraId="3BADB597" w14:textId="77777777" w:rsidR="007D3C62" w:rsidRPr="007D3C62" w:rsidRDefault="007D3C62" w:rsidP="007D3C62">
            <w:pPr>
              <w:tabs>
                <w:tab w:val="left" w:pos="851"/>
              </w:tabs>
              <w:ind w:hanging="2"/>
              <w:jc w:val="both"/>
              <w:rPr>
                <w:color w:val="auto"/>
                <w:lang w:val="en-AU" w:eastAsia="en-US"/>
              </w:rPr>
            </w:pPr>
          </w:p>
        </w:tc>
      </w:tr>
      <w:tr w:rsidR="007D3C62" w:rsidRPr="007D3C62" w14:paraId="6328DF48" w14:textId="77777777" w:rsidTr="004F2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703" w:type="dxa"/>
        </w:trPr>
        <w:tc>
          <w:tcPr>
            <w:tcW w:w="1527" w:type="dxa"/>
            <w:tcBorders>
              <w:top w:val="single" w:sz="4" w:space="0" w:color="auto"/>
              <w:left w:val="nil"/>
              <w:bottom w:val="single" w:sz="4" w:space="0" w:color="auto"/>
              <w:right w:val="nil"/>
            </w:tcBorders>
            <w:shd w:val="clear" w:color="auto" w:fill="auto"/>
            <w:vAlign w:val="center"/>
          </w:tcPr>
          <w:p w14:paraId="5E08C5E8" w14:textId="77777777" w:rsidR="007D3C62" w:rsidRPr="004F2C4F" w:rsidRDefault="007D3C62" w:rsidP="007D3C62">
            <w:pPr>
              <w:jc w:val="center"/>
              <w:rPr>
                <w:b/>
                <w:color w:val="auto"/>
                <w:sz w:val="18"/>
                <w:szCs w:val="18"/>
                <w:lang w:val="id-ID" w:eastAsia="en-US"/>
              </w:rPr>
            </w:pPr>
            <w:r w:rsidRPr="004F2C4F">
              <w:rPr>
                <w:b/>
                <w:color w:val="auto"/>
                <w:sz w:val="18"/>
                <w:szCs w:val="18"/>
                <w:lang w:val="id-ID" w:eastAsia="en-US"/>
              </w:rPr>
              <w:t>Variab</w:t>
            </w:r>
            <w:r w:rsidRPr="004F2C4F">
              <w:rPr>
                <w:b/>
                <w:color w:val="auto"/>
                <w:sz w:val="18"/>
                <w:szCs w:val="18"/>
                <w:lang w:val="en-AU" w:eastAsia="en-US"/>
              </w:rPr>
              <w:t>l</w:t>
            </w:r>
            <w:r w:rsidRPr="004F2C4F">
              <w:rPr>
                <w:b/>
                <w:color w:val="auto"/>
                <w:sz w:val="18"/>
                <w:szCs w:val="18"/>
                <w:lang w:val="id-ID" w:eastAsia="en-US"/>
              </w:rPr>
              <w:t>e</w:t>
            </w:r>
          </w:p>
        </w:tc>
        <w:tc>
          <w:tcPr>
            <w:tcW w:w="2442" w:type="dxa"/>
            <w:gridSpan w:val="2"/>
            <w:tcBorders>
              <w:top w:val="single" w:sz="4" w:space="0" w:color="auto"/>
              <w:left w:val="nil"/>
              <w:bottom w:val="single" w:sz="4" w:space="0" w:color="auto"/>
              <w:right w:val="nil"/>
            </w:tcBorders>
            <w:shd w:val="clear" w:color="auto" w:fill="auto"/>
            <w:vAlign w:val="center"/>
          </w:tcPr>
          <w:p w14:paraId="119D3E69" w14:textId="77777777" w:rsidR="007D3C62" w:rsidRPr="004F2C4F" w:rsidRDefault="007D3C62" w:rsidP="007D3C62">
            <w:pPr>
              <w:jc w:val="center"/>
              <w:rPr>
                <w:b/>
                <w:color w:val="auto"/>
                <w:sz w:val="18"/>
                <w:szCs w:val="18"/>
                <w:lang w:val="en-AU" w:eastAsia="en-US"/>
              </w:rPr>
            </w:pPr>
            <w:r w:rsidRPr="004F2C4F">
              <w:rPr>
                <w:b/>
                <w:color w:val="auto"/>
                <w:sz w:val="18"/>
                <w:szCs w:val="18"/>
                <w:lang w:val="en-AU" w:eastAsia="en-US"/>
              </w:rPr>
              <w:t>Indicator</w:t>
            </w:r>
          </w:p>
        </w:tc>
        <w:tc>
          <w:tcPr>
            <w:tcW w:w="992" w:type="dxa"/>
            <w:tcBorders>
              <w:top w:val="single" w:sz="4" w:space="0" w:color="auto"/>
              <w:left w:val="nil"/>
              <w:bottom w:val="single" w:sz="4" w:space="0" w:color="auto"/>
              <w:right w:val="nil"/>
            </w:tcBorders>
            <w:shd w:val="clear" w:color="auto" w:fill="auto"/>
            <w:vAlign w:val="center"/>
          </w:tcPr>
          <w:p w14:paraId="586FEF8D" w14:textId="77777777" w:rsidR="007D3C62" w:rsidRPr="004F2C4F" w:rsidRDefault="007D3C62" w:rsidP="007D3C62">
            <w:pPr>
              <w:jc w:val="center"/>
              <w:rPr>
                <w:b/>
                <w:color w:val="auto"/>
                <w:sz w:val="18"/>
                <w:szCs w:val="18"/>
                <w:lang w:val="en-AU" w:eastAsia="en-US"/>
              </w:rPr>
            </w:pPr>
            <w:r w:rsidRPr="004F2C4F">
              <w:rPr>
                <w:b/>
                <w:color w:val="auto"/>
                <w:sz w:val="18"/>
                <w:szCs w:val="18"/>
                <w:lang w:val="id-ID" w:eastAsia="en-US"/>
              </w:rPr>
              <w:t xml:space="preserve">Top </w:t>
            </w:r>
            <w:r w:rsidRPr="004F2C4F">
              <w:rPr>
                <w:b/>
                <w:color w:val="auto"/>
                <w:sz w:val="18"/>
                <w:szCs w:val="18"/>
                <w:lang w:val="en-AU" w:eastAsia="en-US"/>
              </w:rPr>
              <w:t>T</w:t>
            </w:r>
            <w:r w:rsidRPr="004F2C4F">
              <w:rPr>
                <w:b/>
                <w:color w:val="auto"/>
                <w:sz w:val="18"/>
                <w:szCs w:val="18"/>
                <w:lang w:val="id-ID" w:eastAsia="en-US"/>
              </w:rPr>
              <w:t xml:space="preserve">en </w:t>
            </w:r>
            <w:r w:rsidRPr="004F2C4F">
              <w:rPr>
                <w:b/>
                <w:color w:val="auto"/>
                <w:sz w:val="18"/>
                <w:szCs w:val="18"/>
                <w:lang w:val="en-AU" w:eastAsia="en-US"/>
              </w:rPr>
              <w:t>Numbers</w:t>
            </w:r>
          </w:p>
        </w:tc>
        <w:tc>
          <w:tcPr>
            <w:tcW w:w="1134" w:type="dxa"/>
            <w:tcBorders>
              <w:top w:val="single" w:sz="4" w:space="0" w:color="auto"/>
              <w:left w:val="nil"/>
              <w:bottom w:val="single" w:sz="4" w:space="0" w:color="auto"/>
              <w:right w:val="nil"/>
            </w:tcBorders>
            <w:shd w:val="clear" w:color="auto" w:fill="auto"/>
          </w:tcPr>
          <w:p w14:paraId="5945D0E8" w14:textId="77777777" w:rsidR="007D3C62" w:rsidRPr="004F2C4F" w:rsidRDefault="007D3C62" w:rsidP="007D3C62">
            <w:pPr>
              <w:jc w:val="center"/>
              <w:rPr>
                <w:b/>
                <w:color w:val="auto"/>
                <w:sz w:val="18"/>
                <w:szCs w:val="18"/>
                <w:lang w:val="en-AU" w:eastAsia="en-US"/>
              </w:rPr>
            </w:pPr>
            <w:r w:rsidRPr="004F2C4F">
              <w:rPr>
                <w:b/>
                <w:color w:val="auto"/>
                <w:sz w:val="18"/>
                <w:szCs w:val="18"/>
                <w:lang w:val="en-AU" w:eastAsia="en-US"/>
              </w:rPr>
              <w:t xml:space="preserve">Literature of RI 4.0 </w:t>
            </w:r>
            <w:r w:rsidRPr="004F2C4F">
              <w:rPr>
                <w:b/>
                <w:color w:val="auto"/>
                <w:sz w:val="18"/>
                <w:szCs w:val="18"/>
                <w:lang w:val="id-ID" w:eastAsia="en-US"/>
              </w:rPr>
              <w:t>N</w:t>
            </w:r>
            <w:r w:rsidRPr="004F2C4F">
              <w:rPr>
                <w:b/>
                <w:color w:val="auto"/>
                <w:sz w:val="18"/>
                <w:szCs w:val="18"/>
                <w:lang w:val="en-AU" w:eastAsia="en-US"/>
              </w:rPr>
              <w:t>umbers</w:t>
            </w:r>
          </w:p>
        </w:tc>
        <w:tc>
          <w:tcPr>
            <w:tcW w:w="992" w:type="dxa"/>
            <w:tcBorders>
              <w:top w:val="single" w:sz="4" w:space="0" w:color="auto"/>
              <w:left w:val="nil"/>
              <w:bottom w:val="single" w:sz="4" w:space="0" w:color="auto"/>
              <w:right w:val="nil"/>
            </w:tcBorders>
            <w:shd w:val="clear" w:color="auto" w:fill="auto"/>
            <w:vAlign w:val="center"/>
          </w:tcPr>
          <w:p w14:paraId="666C4891" w14:textId="77777777" w:rsidR="007D3C62" w:rsidRPr="004F2C4F" w:rsidRDefault="007D3C62" w:rsidP="007D3C62">
            <w:pPr>
              <w:jc w:val="center"/>
              <w:rPr>
                <w:b/>
                <w:color w:val="auto"/>
                <w:sz w:val="18"/>
                <w:szCs w:val="18"/>
                <w:lang w:val="en-AU" w:eastAsia="en-US"/>
              </w:rPr>
            </w:pPr>
            <w:r w:rsidRPr="004F2C4F">
              <w:rPr>
                <w:b/>
                <w:color w:val="auto"/>
                <w:sz w:val="18"/>
                <w:szCs w:val="18"/>
                <w:lang w:val="en-AU" w:eastAsia="en-US"/>
              </w:rPr>
              <w:t>Item Number</w:t>
            </w:r>
          </w:p>
        </w:tc>
      </w:tr>
      <w:tr w:rsidR="007D3C62" w:rsidRPr="007D3C62" w14:paraId="00DDCCA2" w14:textId="77777777" w:rsidTr="004F2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703" w:type="dxa"/>
        </w:trPr>
        <w:tc>
          <w:tcPr>
            <w:tcW w:w="1527" w:type="dxa"/>
            <w:vMerge w:val="restart"/>
            <w:tcBorders>
              <w:top w:val="single" w:sz="4" w:space="0" w:color="auto"/>
              <w:left w:val="nil"/>
              <w:bottom w:val="nil"/>
              <w:right w:val="nil"/>
            </w:tcBorders>
            <w:shd w:val="clear" w:color="auto" w:fill="auto"/>
            <w:vAlign w:val="center"/>
          </w:tcPr>
          <w:p w14:paraId="320AA99E"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lastRenderedPageBreak/>
              <w:t>PERSONALITY COMPETENCE</w:t>
            </w:r>
          </w:p>
        </w:tc>
        <w:tc>
          <w:tcPr>
            <w:tcW w:w="2442" w:type="dxa"/>
            <w:gridSpan w:val="2"/>
            <w:tcBorders>
              <w:top w:val="single" w:sz="4" w:space="0" w:color="auto"/>
              <w:left w:val="nil"/>
              <w:bottom w:val="single" w:sz="4" w:space="0" w:color="auto"/>
              <w:right w:val="nil"/>
            </w:tcBorders>
            <w:shd w:val="clear" w:color="auto" w:fill="auto"/>
          </w:tcPr>
          <w:p w14:paraId="5E19F1C8"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b/>
                <w:bCs/>
                <w:color w:val="auto"/>
                <w:sz w:val="18"/>
                <w:szCs w:val="18"/>
                <w:lang w:val="en-AU" w:eastAsia="en-US"/>
              </w:rPr>
              <w:t xml:space="preserve">Indicator 1 </w:t>
            </w:r>
          </w:p>
          <w:p w14:paraId="245D6844" w14:textId="77777777" w:rsidR="007D3C62" w:rsidRPr="007D3C62" w:rsidRDefault="007D3C62" w:rsidP="007D3C62">
            <w:pPr>
              <w:jc w:val="both"/>
              <w:rPr>
                <w:color w:val="auto"/>
                <w:sz w:val="18"/>
                <w:szCs w:val="18"/>
                <w:lang w:val="en-AU" w:eastAsia="en-US"/>
              </w:rPr>
            </w:pPr>
            <w:r w:rsidRPr="007D3C62">
              <w:rPr>
                <w:color w:val="auto"/>
                <w:sz w:val="18"/>
                <w:szCs w:val="18"/>
                <w:lang w:val="en-ID" w:eastAsia="en-US"/>
              </w:rPr>
              <w:t>Act in accordance with Indonesian national religious, legal, social and cultural norms</w:t>
            </w:r>
          </w:p>
        </w:tc>
        <w:tc>
          <w:tcPr>
            <w:tcW w:w="992" w:type="dxa"/>
            <w:tcBorders>
              <w:top w:val="single" w:sz="4" w:space="0" w:color="auto"/>
              <w:left w:val="nil"/>
              <w:bottom w:val="single" w:sz="4" w:space="0" w:color="auto"/>
              <w:right w:val="nil"/>
            </w:tcBorders>
            <w:shd w:val="clear" w:color="auto" w:fill="auto"/>
            <w:vAlign w:val="center"/>
          </w:tcPr>
          <w:p w14:paraId="2E75ADAE"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3, 4, 5, 6, 8, 9, 10</w:t>
            </w:r>
          </w:p>
        </w:tc>
        <w:tc>
          <w:tcPr>
            <w:tcW w:w="1134" w:type="dxa"/>
            <w:tcBorders>
              <w:top w:val="single" w:sz="4" w:space="0" w:color="auto"/>
              <w:left w:val="nil"/>
              <w:bottom w:val="single" w:sz="4" w:space="0" w:color="auto"/>
              <w:right w:val="nil"/>
            </w:tcBorders>
            <w:shd w:val="clear" w:color="auto" w:fill="auto"/>
            <w:vAlign w:val="center"/>
          </w:tcPr>
          <w:p w14:paraId="7394AFCB" w14:textId="73130FED" w:rsidR="007D3C62" w:rsidRPr="007D3C62" w:rsidRDefault="007D3C62" w:rsidP="007D3C62">
            <w:pPr>
              <w:jc w:val="center"/>
              <w:rPr>
                <w:color w:val="auto"/>
                <w:sz w:val="18"/>
                <w:szCs w:val="18"/>
                <w:lang w:val="id-ID" w:eastAsia="en-US"/>
              </w:rPr>
            </w:pPr>
            <w:r w:rsidRPr="007D3C62">
              <w:rPr>
                <w:color w:val="auto"/>
                <w:sz w:val="18"/>
                <w:szCs w:val="18"/>
                <w:lang w:val="id-ID" w:eastAsia="en-US"/>
              </w:rPr>
              <w:t xml:space="preserve">L2 </w:t>
            </w:r>
            <w:r w:rsidR="00BD0F84">
              <w:rPr>
                <w:color w:val="auto"/>
                <w:sz w:val="18"/>
                <w:szCs w:val="18"/>
                <w:lang w:val="en-US" w:eastAsia="en-US"/>
              </w:rPr>
              <w:t>and</w:t>
            </w:r>
            <w:r w:rsidRPr="007D3C62">
              <w:rPr>
                <w:color w:val="auto"/>
                <w:sz w:val="18"/>
                <w:szCs w:val="18"/>
                <w:lang w:val="id-ID" w:eastAsia="en-US"/>
              </w:rPr>
              <w:t xml:space="preserve"> L3</w:t>
            </w:r>
          </w:p>
        </w:tc>
        <w:tc>
          <w:tcPr>
            <w:tcW w:w="992" w:type="dxa"/>
            <w:tcBorders>
              <w:top w:val="single" w:sz="4" w:space="0" w:color="auto"/>
              <w:left w:val="nil"/>
              <w:bottom w:val="single" w:sz="4" w:space="0" w:color="auto"/>
              <w:right w:val="nil"/>
            </w:tcBorders>
            <w:shd w:val="clear" w:color="auto" w:fill="auto"/>
            <w:vAlign w:val="center"/>
          </w:tcPr>
          <w:p w14:paraId="2A28F8CE"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 xml:space="preserve">1 </w:t>
            </w:r>
            <w:r w:rsidRPr="007D3C62">
              <w:rPr>
                <w:color w:val="auto"/>
                <w:sz w:val="18"/>
                <w:szCs w:val="18"/>
                <w:lang w:val="en-US" w:eastAsia="en-US"/>
              </w:rPr>
              <w:t xml:space="preserve">- </w:t>
            </w:r>
            <w:r w:rsidRPr="007D3C62">
              <w:rPr>
                <w:color w:val="auto"/>
                <w:sz w:val="18"/>
                <w:szCs w:val="18"/>
                <w:lang w:val="id-ID" w:eastAsia="en-US"/>
              </w:rPr>
              <w:t>6</w:t>
            </w:r>
          </w:p>
        </w:tc>
      </w:tr>
      <w:tr w:rsidR="007D3C62" w:rsidRPr="007D3C62" w14:paraId="0BD9EC36" w14:textId="77777777" w:rsidTr="004F2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703" w:type="dxa"/>
        </w:trPr>
        <w:tc>
          <w:tcPr>
            <w:tcW w:w="1527" w:type="dxa"/>
            <w:vMerge/>
            <w:tcBorders>
              <w:top w:val="nil"/>
              <w:left w:val="nil"/>
              <w:bottom w:val="nil"/>
              <w:right w:val="nil"/>
            </w:tcBorders>
            <w:shd w:val="clear" w:color="auto" w:fill="auto"/>
          </w:tcPr>
          <w:p w14:paraId="58001581" w14:textId="77777777" w:rsidR="007D3C62" w:rsidRPr="007D3C62" w:rsidRDefault="007D3C62" w:rsidP="007D3C62">
            <w:pPr>
              <w:jc w:val="both"/>
              <w:rPr>
                <w:color w:val="auto"/>
                <w:sz w:val="18"/>
                <w:szCs w:val="18"/>
                <w:lang w:val="en-AU" w:eastAsia="en-US"/>
              </w:rPr>
            </w:pPr>
          </w:p>
        </w:tc>
        <w:tc>
          <w:tcPr>
            <w:tcW w:w="2442" w:type="dxa"/>
            <w:gridSpan w:val="2"/>
            <w:tcBorders>
              <w:top w:val="single" w:sz="4" w:space="0" w:color="auto"/>
              <w:left w:val="nil"/>
              <w:bottom w:val="single" w:sz="4" w:space="0" w:color="auto"/>
              <w:right w:val="nil"/>
            </w:tcBorders>
            <w:shd w:val="clear" w:color="auto" w:fill="auto"/>
          </w:tcPr>
          <w:p w14:paraId="1645C79D"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b/>
                <w:bCs/>
                <w:color w:val="auto"/>
                <w:sz w:val="18"/>
                <w:szCs w:val="18"/>
                <w:lang w:val="en-AU" w:eastAsia="en-US"/>
              </w:rPr>
              <w:t>Indicator 2</w:t>
            </w:r>
          </w:p>
          <w:p w14:paraId="0E07977F"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color w:val="auto"/>
                <w:sz w:val="18"/>
                <w:szCs w:val="18"/>
                <w:lang w:val="en-ID" w:eastAsia="en-US"/>
              </w:rPr>
              <w:t>Presents themselves as honest, noble, and role models for students and the community</w:t>
            </w:r>
          </w:p>
        </w:tc>
        <w:tc>
          <w:tcPr>
            <w:tcW w:w="992" w:type="dxa"/>
            <w:tcBorders>
              <w:top w:val="single" w:sz="4" w:space="0" w:color="auto"/>
              <w:left w:val="nil"/>
              <w:bottom w:val="single" w:sz="4" w:space="0" w:color="auto"/>
              <w:right w:val="nil"/>
            </w:tcBorders>
            <w:shd w:val="clear" w:color="auto" w:fill="auto"/>
            <w:vAlign w:val="center"/>
          </w:tcPr>
          <w:p w14:paraId="544BA539"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4, 5, 6, 8, 9</w:t>
            </w:r>
          </w:p>
        </w:tc>
        <w:tc>
          <w:tcPr>
            <w:tcW w:w="1134" w:type="dxa"/>
            <w:tcBorders>
              <w:top w:val="single" w:sz="4" w:space="0" w:color="auto"/>
              <w:left w:val="nil"/>
              <w:bottom w:val="single" w:sz="4" w:space="0" w:color="auto"/>
              <w:right w:val="nil"/>
            </w:tcBorders>
            <w:shd w:val="clear" w:color="auto" w:fill="auto"/>
            <w:vAlign w:val="center"/>
          </w:tcPr>
          <w:p w14:paraId="750E5D7C" w14:textId="240C9EC1" w:rsidR="007D3C62" w:rsidRPr="007D3C62" w:rsidRDefault="007D3C62" w:rsidP="007D3C62">
            <w:pPr>
              <w:jc w:val="center"/>
              <w:rPr>
                <w:color w:val="auto"/>
                <w:sz w:val="18"/>
                <w:szCs w:val="18"/>
                <w:lang w:val="en-AU" w:eastAsia="en-US"/>
              </w:rPr>
            </w:pPr>
            <w:r w:rsidRPr="007D3C62">
              <w:rPr>
                <w:color w:val="auto"/>
                <w:sz w:val="18"/>
                <w:szCs w:val="18"/>
                <w:lang w:val="id-ID" w:eastAsia="en-US"/>
              </w:rPr>
              <w:t xml:space="preserve">L2 </w:t>
            </w:r>
            <w:r w:rsidR="00BD0F84">
              <w:rPr>
                <w:color w:val="auto"/>
                <w:sz w:val="18"/>
                <w:szCs w:val="18"/>
                <w:lang w:val="en-US" w:eastAsia="en-US"/>
              </w:rPr>
              <w:t>and</w:t>
            </w:r>
            <w:r w:rsidRPr="007D3C62">
              <w:rPr>
                <w:color w:val="auto"/>
                <w:sz w:val="18"/>
                <w:szCs w:val="18"/>
                <w:lang w:val="id-ID" w:eastAsia="en-US"/>
              </w:rPr>
              <w:t xml:space="preserve"> L3</w:t>
            </w:r>
          </w:p>
        </w:tc>
        <w:tc>
          <w:tcPr>
            <w:tcW w:w="992" w:type="dxa"/>
            <w:tcBorders>
              <w:top w:val="single" w:sz="4" w:space="0" w:color="auto"/>
              <w:left w:val="nil"/>
              <w:bottom w:val="single" w:sz="4" w:space="0" w:color="auto"/>
              <w:right w:val="nil"/>
            </w:tcBorders>
            <w:shd w:val="clear" w:color="auto" w:fill="auto"/>
            <w:vAlign w:val="center"/>
          </w:tcPr>
          <w:p w14:paraId="43255FD3"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7 - 13</w:t>
            </w:r>
          </w:p>
        </w:tc>
      </w:tr>
      <w:tr w:rsidR="007D3C62" w:rsidRPr="007D3C62" w14:paraId="22364E52" w14:textId="77777777" w:rsidTr="004F2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703" w:type="dxa"/>
        </w:trPr>
        <w:tc>
          <w:tcPr>
            <w:tcW w:w="1527" w:type="dxa"/>
            <w:vMerge/>
            <w:tcBorders>
              <w:top w:val="nil"/>
              <w:left w:val="nil"/>
              <w:bottom w:val="nil"/>
              <w:right w:val="nil"/>
            </w:tcBorders>
            <w:shd w:val="clear" w:color="auto" w:fill="auto"/>
          </w:tcPr>
          <w:p w14:paraId="42477CD4" w14:textId="77777777" w:rsidR="007D3C62" w:rsidRPr="007D3C62" w:rsidRDefault="007D3C62" w:rsidP="007D3C62">
            <w:pPr>
              <w:jc w:val="both"/>
              <w:rPr>
                <w:color w:val="auto"/>
                <w:sz w:val="18"/>
                <w:szCs w:val="18"/>
                <w:lang w:val="en-AU" w:eastAsia="en-US"/>
              </w:rPr>
            </w:pPr>
          </w:p>
        </w:tc>
        <w:tc>
          <w:tcPr>
            <w:tcW w:w="2442" w:type="dxa"/>
            <w:gridSpan w:val="2"/>
            <w:tcBorders>
              <w:top w:val="single" w:sz="4" w:space="0" w:color="auto"/>
              <w:left w:val="nil"/>
              <w:bottom w:val="single" w:sz="4" w:space="0" w:color="auto"/>
              <w:right w:val="nil"/>
            </w:tcBorders>
            <w:shd w:val="clear" w:color="auto" w:fill="auto"/>
          </w:tcPr>
          <w:p w14:paraId="4B8CA71C"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b/>
                <w:bCs/>
                <w:color w:val="auto"/>
                <w:sz w:val="18"/>
                <w:szCs w:val="18"/>
                <w:lang w:val="en-AU" w:eastAsia="en-US"/>
              </w:rPr>
              <w:t>Indicator 3</w:t>
            </w:r>
          </w:p>
          <w:p w14:paraId="6DF3ABB2"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color w:val="auto"/>
                <w:sz w:val="18"/>
                <w:szCs w:val="18"/>
                <w:lang w:val="en-ID" w:eastAsia="en-US"/>
              </w:rPr>
              <w:t>Present themselves as a stable, mature, wise, and authoritative person</w:t>
            </w:r>
          </w:p>
        </w:tc>
        <w:tc>
          <w:tcPr>
            <w:tcW w:w="992" w:type="dxa"/>
            <w:tcBorders>
              <w:top w:val="single" w:sz="4" w:space="0" w:color="auto"/>
              <w:left w:val="nil"/>
              <w:bottom w:val="single" w:sz="4" w:space="0" w:color="auto"/>
              <w:right w:val="nil"/>
            </w:tcBorders>
            <w:shd w:val="clear" w:color="auto" w:fill="auto"/>
            <w:vAlign w:val="center"/>
          </w:tcPr>
          <w:p w14:paraId="380EB34A"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1, 2, 3, 4, 8, 10</w:t>
            </w:r>
          </w:p>
        </w:tc>
        <w:tc>
          <w:tcPr>
            <w:tcW w:w="1134" w:type="dxa"/>
            <w:tcBorders>
              <w:top w:val="single" w:sz="4" w:space="0" w:color="auto"/>
              <w:left w:val="nil"/>
              <w:bottom w:val="single" w:sz="4" w:space="0" w:color="auto"/>
              <w:right w:val="nil"/>
            </w:tcBorders>
            <w:shd w:val="clear" w:color="auto" w:fill="auto"/>
            <w:vAlign w:val="center"/>
          </w:tcPr>
          <w:p w14:paraId="2700FFD1"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L1, L2, L3</w:t>
            </w:r>
          </w:p>
        </w:tc>
        <w:tc>
          <w:tcPr>
            <w:tcW w:w="992" w:type="dxa"/>
            <w:tcBorders>
              <w:top w:val="single" w:sz="4" w:space="0" w:color="auto"/>
              <w:left w:val="nil"/>
              <w:bottom w:val="single" w:sz="4" w:space="0" w:color="auto"/>
              <w:right w:val="nil"/>
            </w:tcBorders>
            <w:shd w:val="clear" w:color="auto" w:fill="auto"/>
            <w:vAlign w:val="center"/>
          </w:tcPr>
          <w:p w14:paraId="6C62B7E9"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14 - 19</w:t>
            </w:r>
          </w:p>
        </w:tc>
      </w:tr>
      <w:tr w:rsidR="007D3C62" w:rsidRPr="007D3C62" w14:paraId="0AE6F1B9" w14:textId="77777777" w:rsidTr="004F2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703" w:type="dxa"/>
        </w:trPr>
        <w:tc>
          <w:tcPr>
            <w:tcW w:w="1527" w:type="dxa"/>
            <w:vMerge/>
            <w:tcBorders>
              <w:top w:val="nil"/>
              <w:left w:val="nil"/>
              <w:bottom w:val="nil"/>
              <w:right w:val="nil"/>
            </w:tcBorders>
            <w:shd w:val="clear" w:color="auto" w:fill="auto"/>
          </w:tcPr>
          <w:p w14:paraId="18677031" w14:textId="77777777" w:rsidR="007D3C62" w:rsidRPr="007D3C62" w:rsidRDefault="007D3C62" w:rsidP="007D3C62">
            <w:pPr>
              <w:jc w:val="both"/>
              <w:rPr>
                <w:color w:val="auto"/>
                <w:sz w:val="18"/>
                <w:szCs w:val="18"/>
                <w:lang w:val="en-AU" w:eastAsia="en-US"/>
              </w:rPr>
            </w:pPr>
          </w:p>
        </w:tc>
        <w:tc>
          <w:tcPr>
            <w:tcW w:w="2442" w:type="dxa"/>
            <w:gridSpan w:val="2"/>
            <w:tcBorders>
              <w:top w:val="single" w:sz="4" w:space="0" w:color="auto"/>
              <w:left w:val="nil"/>
              <w:bottom w:val="single" w:sz="4" w:space="0" w:color="auto"/>
              <w:right w:val="nil"/>
            </w:tcBorders>
            <w:shd w:val="clear" w:color="auto" w:fill="auto"/>
          </w:tcPr>
          <w:p w14:paraId="5347B774"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b/>
                <w:bCs/>
                <w:color w:val="auto"/>
                <w:sz w:val="18"/>
                <w:szCs w:val="18"/>
                <w:lang w:val="en-AU" w:eastAsia="en-US"/>
              </w:rPr>
              <w:t>Indicator 4</w:t>
            </w:r>
          </w:p>
          <w:p w14:paraId="0155CB11"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color w:val="auto"/>
                <w:sz w:val="18"/>
                <w:szCs w:val="18"/>
                <w:lang w:val="en-ID" w:eastAsia="en-US"/>
              </w:rPr>
              <w:t>Shows work ethic, high responsibility, pride in being a teacher, and self-confidence</w:t>
            </w:r>
          </w:p>
        </w:tc>
        <w:tc>
          <w:tcPr>
            <w:tcW w:w="992" w:type="dxa"/>
            <w:tcBorders>
              <w:top w:val="single" w:sz="4" w:space="0" w:color="auto"/>
              <w:left w:val="nil"/>
              <w:bottom w:val="single" w:sz="4" w:space="0" w:color="auto"/>
              <w:right w:val="nil"/>
            </w:tcBorders>
            <w:shd w:val="clear" w:color="auto" w:fill="auto"/>
            <w:vAlign w:val="center"/>
          </w:tcPr>
          <w:p w14:paraId="535BEA32"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1, 2, 3, 8, 9, 10</w:t>
            </w:r>
          </w:p>
        </w:tc>
        <w:tc>
          <w:tcPr>
            <w:tcW w:w="1134" w:type="dxa"/>
            <w:tcBorders>
              <w:top w:val="single" w:sz="4" w:space="0" w:color="auto"/>
              <w:left w:val="nil"/>
              <w:bottom w:val="single" w:sz="4" w:space="0" w:color="auto"/>
              <w:right w:val="nil"/>
            </w:tcBorders>
            <w:shd w:val="clear" w:color="auto" w:fill="auto"/>
            <w:vAlign w:val="center"/>
          </w:tcPr>
          <w:p w14:paraId="083461A7"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L1, L2, L3</w:t>
            </w:r>
          </w:p>
        </w:tc>
        <w:tc>
          <w:tcPr>
            <w:tcW w:w="992" w:type="dxa"/>
            <w:tcBorders>
              <w:top w:val="single" w:sz="4" w:space="0" w:color="auto"/>
              <w:left w:val="nil"/>
              <w:bottom w:val="single" w:sz="4" w:space="0" w:color="auto"/>
              <w:right w:val="nil"/>
            </w:tcBorders>
            <w:shd w:val="clear" w:color="auto" w:fill="auto"/>
            <w:vAlign w:val="center"/>
          </w:tcPr>
          <w:p w14:paraId="5C92E84E"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20 - 24</w:t>
            </w:r>
          </w:p>
        </w:tc>
      </w:tr>
      <w:tr w:rsidR="007D3C62" w:rsidRPr="007D3C62" w14:paraId="3602AEBA" w14:textId="77777777" w:rsidTr="004F2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703" w:type="dxa"/>
        </w:trPr>
        <w:tc>
          <w:tcPr>
            <w:tcW w:w="1527" w:type="dxa"/>
            <w:vMerge/>
            <w:tcBorders>
              <w:top w:val="nil"/>
              <w:left w:val="nil"/>
              <w:bottom w:val="single" w:sz="4" w:space="0" w:color="auto"/>
              <w:right w:val="nil"/>
            </w:tcBorders>
            <w:shd w:val="clear" w:color="auto" w:fill="auto"/>
          </w:tcPr>
          <w:p w14:paraId="58D40392" w14:textId="77777777" w:rsidR="007D3C62" w:rsidRPr="007D3C62" w:rsidRDefault="007D3C62" w:rsidP="007D3C62">
            <w:pPr>
              <w:jc w:val="both"/>
              <w:rPr>
                <w:color w:val="auto"/>
                <w:sz w:val="18"/>
                <w:szCs w:val="18"/>
                <w:lang w:val="en-AU" w:eastAsia="en-US"/>
              </w:rPr>
            </w:pPr>
          </w:p>
        </w:tc>
        <w:tc>
          <w:tcPr>
            <w:tcW w:w="2442" w:type="dxa"/>
            <w:gridSpan w:val="2"/>
            <w:tcBorders>
              <w:top w:val="single" w:sz="4" w:space="0" w:color="auto"/>
              <w:left w:val="nil"/>
              <w:bottom w:val="single" w:sz="4" w:space="0" w:color="auto"/>
              <w:right w:val="nil"/>
            </w:tcBorders>
            <w:shd w:val="clear" w:color="auto" w:fill="auto"/>
          </w:tcPr>
          <w:p w14:paraId="5899EF2D" w14:textId="77777777" w:rsidR="007D3C62" w:rsidRPr="007D3C62" w:rsidRDefault="007D3C62" w:rsidP="007D3C62">
            <w:pPr>
              <w:autoSpaceDE w:val="0"/>
              <w:autoSpaceDN w:val="0"/>
              <w:adjustRightInd w:val="0"/>
              <w:jc w:val="both"/>
              <w:rPr>
                <w:b/>
                <w:bCs/>
                <w:color w:val="auto"/>
                <w:sz w:val="18"/>
                <w:szCs w:val="18"/>
                <w:lang w:val="en-AU" w:eastAsia="en-US"/>
              </w:rPr>
            </w:pPr>
            <w:r w:rsidRPr="007D3C62">
              <w:rPr>
                <w:b/>
                <w:bCs/>
                <w:color w:val="auto"/>
                <w:sz w:val="18"/>
                <w:szCs w:val="18"/>
                <w:lang w:val="en-AU" w:eastAsia="en-US"/>
              </w:rPr>
              <w:t>Indicator 5</w:t>
            </w:r>
          </w:p>
          <w:p w14:paraId="247963D9" w14:textId="77777777" w:rsidR="007D3C62" w:rsidRPr="007D3C62" w:rsidRDefault="007D3C62" w:rsidP="007D3C62">
            <w:pPr>
              <w:autoSpaceDE w:val="0"/>
              <w:autoSpaceDN w:val="0"/>
              <w:adjustRightInd w:val="0"/>
              <w:jc w:val="both"/>
              <w:rPr>
                <w:color w:val="auto"/>
                <w:sz w:val="18"/>
                <w:szCs w:val="18"/>
                <w:lang w:val="en-AU" w:eastAsia="en-US"/>
              </w:rPr>
            </w:pPr>
            <w:r w:rsidRPr="007D3C62">
              <w:rPr>
                <w:color w:val="auto"/>
                <w:sz w:val="18"/>
                <w:szCs w:val="18"/>
                <w:lang w:val="en-ID" w:eastAsia="en-US"/>
              </w:rPr>
              <w:t>Upholds the code of ethics of the teaching profession</w:t>
            </w:r>
          </w:p>
        </w:tc>
        <w:tc>
          <w:tcPr>
            <w:tcW w:w="992" w:type="dxa"/>
            <w:tcBorders>
              <w:top w:val="single" w:sz="4" w:space="0" w:color="auto"/>
              <w:left w:val="nil"/>
              <w:bottom w:val="single" w:sz="4" w:space="0" w:color="auto"/>
              <w:right w:val="nil"/>
            </w:tcBorders>
            <w:shd w:val="clear" w:color="auto" w:fill="auto"/>
            <w:vAlign w:val="center"/>
          </w:tcPr>
          <w:p w14:paraId="5FF82EC8"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3, 4, 5, 7, 9, 10</w:t>
            </w:r>
          </w:p>
        </w:tc>
        <w:tc>
          <w:tcPr>
            <w:tcW w:w="1134" w:type="dxa"/>
            <w:tcBorders>
              <w:top w:val="single" w:sz="4" w:space="0" w:color="auto"/>
              <w:left w:val="nil"/>
              <w:bottom w:val="single" w:sz="4" w:space="0" w:color="auto"/>
              <w:right w:val="nil"/>
            </w:tcBorders>
            <w:shd w:val="clear" w:color="auto" w:fill="auto"/>
            <w:vAlign w:val="center"/>
          </w:tcPr>
          <w:p w14:paraId="4F279C47" w14:textId="77777777" w:rsidR="007D3C62" w:rsidRPr="007D3C62" w:rsidRDefault="007D3C62" w:rsidP="007D3C62">
            <w:pPr>
              <w:jc w:val="center"/>
              <w:rPr>
                <w:color w:val="auto"/>
                <w:sz w:val="18"/>
                <w:szCs w:val="18"/>
                <w:lang w:val="en-AU" w:eastAsia="en-US"/>
              </w:rPr>
            </w:pPr>
            <w:r w:rsidRPr="007D3C62">
              <w:rPr>
                <w:color w:val="auto"/>
                <w:sz w:val="18"/>
                <w:szCs w:val="18"/>
                <w:lang w:val="id-ID" w:eastAsia="en-US"/>
              </w:rPr>
              <w:t>L1, L2, L3</w:t>
            </w:r>
          </w:p>
        </w:tc>
        <w:tc>
          <w:tcPr>
            <w:tcW w:w="992" w:type="dxa"/>
            <w:tcBorders>
              <w:top w:val="single" w:sz="4" w:space="0" w:color="auto"/>
              <w:left w:val="nil"/>
              <w:bottom w:val="single" w:sz="4" w:space="0" w:color="auto"/>
              <w:right w:val="nil"/>
            </w:tcBorders>
            <w:shd w:val="clear" w:color="auto" w:fill="auto"/>
            <w:vAlign w:val="center"/>
          </w:tcPr>
          <w:p w14:paraId="3DA31FAB" w14:textId="77777777" w:rsidR="007D3C62" w:rsidRPr="007D3C62" w:rsidRDefault="007D3C62" w:rsidP="007D3C62">
            <w:pPr>
              <w:jc w:val="center"/>
              <w:rPr>
                <w:color w:val="auto"/>
                <w:sz w:val="18"/>
                <w:szCs w:val="18"/>
                <w:lang w:val="id-ID" w:eastAsia="en-US"/>
              </w:rPr>
            </w:pPr>
            <w:r w:rsidRPr="007D3C62">
              <w:rPr>
                <w:color w:val="auto"/>
                <w:sz w:val="18"/>
                <w:szCs w:val="18"/>
                <w:lang w:val="id-ID" w:eastAsia="en-US"/>
              </w:rPr>
              <w:t>25 - 29</w:t>
            </w:r>
          </w:p>
        </w:tc>
      </w:tr>
      <w:tr w:rsidR="007D3C62" w:rsidRPr="007D3C62" w14:paraId="57842526" w14:textId="77777777" w:rsidTr="004F2C4F">
        <w:trPr>
          <w:gridAfter w:val="2"/>
          <w:wAfter w:w="5655" w:type="dxa"/>
        </w:trPr>
        <w:tc>
          <w:tcPr>
            <w:tcW w:w="3260" w:type="dxa"/>
            <w:gridSpan w:val="2"/>
            <w:tcBorders>
              <w:top w:val="single" w:sz="4" w:space="0" w:color="auto"/>
              <w:bottom w:val="single" w:sz="4" w:space="0" w:color="auto"/>
            </w:tcBorders>
            <w:shd w:val="clear" w:color="auto" w:fill="auto"/>
          </w:tcPr>
          <w:p w14:paraId="181DE221" w14:textId="77777777" w:rsidR="007D3C62" w:rsidRPr="007D3C62" w:rsidRDefault="007D3C62" w:rsidP="00BD49FE">
            <w:pPr>
              <w:tabs>
                <w:tab w:val="left" w:pos="851"/>
              </w:tabs>
              <w:ind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1. Complex problem solving</w:t>
            </w:r>
          </w:p>
          <w:p w14:paraId="4D78DD6F" w14:textId="77777777" w:rsidR="007D3C62" w:rsidRPr="007D3C62" w:rsidRDefault="007D3C62" w:rsidP="00BD49FE">
            <w:pPr>
              <w:tabs>
                <w:tab w:val="left" w:pos="851"/>
              </w:tabs>
              <w:ind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2. Critical thinking</w:t>
            </w:r>
          </w:p>
          <w:p w14:paraId="30D3D62C" w14:textId="77777777" w:rsidR="007D3C62" w:rsidRPr="007D3C62" w:rsidRDefault="007D3C62" w:rsidP="00BD49FE">
            <w:pPr>
              <w:tabs>
                <w:tab w:val="left" w:pos="851"/>
              </w:tabs>
              <w:ind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3. Creativity</w:t>
            </w:r>
          </w:p>
          <w:p w14:paraId="49CC3093" w14:textId="77777777" w:rsidR="007D3C62" w:rsidRPr="007D3C62" w:rsidRDefault="007D3C62" w:rsidP="00BD49FE">
            <w:pPr>
              <w:tabs>
                <w:tab w:val="left" w:pos="851"/>
              </w:tabs>
              <w:ind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4. People management</w:t>
            </w:r>
          </w:p>
          <w:p w14:paraId="39704208" w14:textId="77777777" w:rsidR="007D3C62" w:rsidRPr="007D3C62" w:rsidRDefault="007D3C62" w:rsidP="00BD49FE">
            <w:pPr>
              <w:tabs>
                <w:tab w:val="left" w:pos="851"/>
              </w:tabs>
              <w:ind w:hanging="2"/>
              <w:jc w:val="both"/>
              <w:rPr>
                <w:iCs/>
                <w:color w:val="auto"/>
                <w:lang w:val="id-ID" w:eastAsia="en-US"/>
              </w:rPr>
            </w:pPr>
            <w:proofErr w:type="spellStart"/>
            <w:r w:rsidRPr="007D3C62">
              <w:rPr>
                <w:iCs/>
                <w:color w:val="auto"/>
                <w:lang w:val="en-AU" w:eastAsia="en-US"/>
              </w:rPr>
              <w:t>Topten</w:t>
            </w:r>
            <w:proofErr w:type="spellEnd"/>
            <w:r w:rsidRPr="007D3C62">
              <w:rPr>
                <w:iCs/>
                <w:color w:val="auto"/>
                <w:lang w:val="en-AU" w:eastAsia="en-US"/>
              </w:rPr>
              <w:t xml:space="preserve"> 5. Coordinating with others</w:t>
            </w:r>
          </w:p>
          <w:p w14:paraId="3C6B24C0" w14:textId="77777777" w:rsidR="007D3C62" w:rsidRPr="007D3C62" w:rsidRDefault="007D3C62" w:rsidP="00BD49FE">
            <w:pPr>
              <w:tabs>
                <w:tab w:val="left" w:pos="851"/>
              </w:tabs>
              <w:jc w:val="both"/>
              <w:rPr>
                <w:iCs/>
                <w:color w:val="auto"/>
                <w:lang w:val="id-ID" w:eastAsia="en-US"/>
              </w:rPr>
            </w:pPr>
          </w:p>
          <w:p w14:paraId="756DA8A6" w14:textId="77777777" w:rsidR="007D3C62" w:rsidRPr="007D3C62" w:rsidRDefault="007D3C62" w:rsidP="00BD49FE">
            <w:pPr>
              <w:tabs>
                <w:tab w:val="left" w:pos="851"/>
              </w:tabs>
              <w:ind w:hanging="2"/>
              <w:jc w:val="both"/>
              <w:rPr>
                <w:iCs/>
                <w:color w:val="auto"/>
                <w:lang w:val="id-ID" w:eastAsia="en-US"/>
              </w:rPr>
            </w:pPr>
            <w:r w:rsidRPr="007D3C62">
              <w:rPr>
                <w:iCs/>
                <w:color w:val="auto"/>
                <w:lang w:val="id-ID" w:eastAsia="en-US"/>
              </w:rPr>
              <w:t>L1 = Digital literacy</w:t>
            </w:r>
          </w:p>
          <w:p w14:paraId="0AEBCC6A" w14:textId="77777777" w:rsidR="007D3C62" w:rsidRPr="007D3C62" w:rsidRDefault="007D3C62" w:rsidP="00BD49FE">
            <w:pPr>
              <w:tabs>
                <w:tab w:val="left" w:pos="851"/>
              </w:tabs>
              <w:ind w:hanging="2"/>
              <w:jc w:val="both"/>
              <w:rPr>
                <w:iCs/>
                <w:color w:val="auto"/>
                <w:lang w:val="id-ID" w:eastAsia="en-US"/>
              </w:rPr>
            </w:pPr>
            <w:r w:rsidRPr="007D3C62">
              <w:rPr>
                <w:iCs/>
                <w:color w:val="auto"/>
                <w:lang w:val="id-ID" w:eastAsia="en-US"/>
              </w:rPr>
              <w:t>L2 = Data Literacy</w:t>
            </w:r>
          </w:p>
          <w:p w14:paraId="0D8EF7F3" w14:textId="4BC8BF07" w:rsidR="007D3C62" w:rsidRPr="00BD49FE" w:rsidRDefault="007D3C62" w:rsidP="00BD49FE">
            <w:pPr>
              <w:tabs>
                <w:tab w:val="left" w:pos="851"/>
              </w:tabs>
              <w:ind w:hanging="2"/>
              <w:jc w:val="both"/>
              <w:rPr>
                <w:iCs/>
                <w:color w:val="auto"/>
                <w:lang w:val="en-US" w:eastAsia="en-US"/>
              </w:rPr>
            </w:pPr>
            <w:r w:rsidRPr="007D3C62">
              <w:rPr>
                <w:iCs/>
                <w:color w:val="auto"/>
                <w:lang w:val="id-ID" w:eastAsia="en-US"/>
              </w:rPr>
              <w:t>L3 = Humanity Literacy</w:t>
            </w:r>
            <w:r w:rsidR="00BD0F84">
              <w:rPr>
                <w:iCs/>
                <w:color w:val="auto"/>
                <w:lang w:val="en-US" w:eastAsia="en-US"/>
              </w:rPr>
              <w:t xml:space="preserve"> </w:t>
            </w:r>
          </w:p>
        </w:tc>
        <w:tc>
          <w:tcPr>
            <w:tcW w:w="3875" w:type="dxa"/>
            <w:gridSpan w:val="5"/>
            <w:tcBorders>
              <w:top w:val="single" w:sz="4" w:space="0" w:color="auto"/>
              <w:bottom w:val="single" w:sz="4" w:space="0" w:color="auto"/>
            </w:tcBorders>
            <w:shd w:val="clear" w:color="auto" w:fill="auto"/>
          </w:tcPr>
          <w:p w14:paraId="40CADA1A" w14:textId="77777777" w:rsidR="007D3C62" w:rsidRPr="007D3C62" w:rsidRDefault="007D3C62" w:rsidP="00BD49FE">
            <w:pPr>
              <w:ind w:left="28"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6. Emotional intelligence</w:t>
            </w:r>
          </w:p>
          <w:p w14:paraId="411DF375" w14:textId="77777777" w:rsidR="007D3C62" w:rsidRPr="007D3C62" w:rsidRDefault="007D3C62" w:rsidP="00BD49FE">
            <w:pPr>
              <w:ind w:left="28"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7. Judgment and decision making</w:t>
            </w:r>
          </w:p>
          <w:p w14:paraId="3511AB71" w14:textId="77777777" w:rsidR="007D3C62" w:rsidRPr="007D3C62" w:rsidRDefault="007D3C62" w:rsidP="00BD49FE">
            <w:pPr>
              <w:ind w:left="28"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8. Service orientation</w:t>
            </w:r>
          </w:p>
          <w:p w14:paraId="01EAE306" w14:textId="77777777" w:rsidR="007D3C62" w:rsidRPr="007D3C62" w:rsidRDefault="007D3C62" w:rsidP="00BD49FE">
            <w:pPr>
              <w:ind w:left="28" w:hanging="2"/>
              <w:jc w:val="both"/>
              <w:rPr>
                <w:iCs/>
                <w:color w:val="auto"/>
                <w:lang w:val="en-AU" w:eastAsia="en-US"/>
              </w:rPr>
            </w:pPr>
            <w:proofErr w:type="spellStart"/>
            <w:r w:rsidRPr="007D3C62">
              <w:rPr>
                <w:iCs/>
                <w:color w:val="auto"/>
                <w:lang w:val="en-AU" w:eastAsia="en-US"/>
              </w:rPr>
              <w:t>Topten</w:t>
            </w:r>
            <w:proofErr w:type="spellEnd"/>
            <w:r w:rsidRPr="007D3C62">
              <w:rPr>
                <w:iCs/>
                <w:color w:val="auto"/>
                <w:lang w:val="en-AU" w:eastAsia="en-US"/>
              </w:rPr>
              <w:t xml:space="preserve"> 9. Negotiation, and</w:t>
            </w:r>
          </w:p>
          <w:p w14:paraId="2B140FE8" w14:textId="77777777" w:rsidR="007D3C62" w:rsidRPr="007D3C62" w:rsidRDefault="007D3C62" w:rsidP="00BD49FE">
            <w:pPr>
              <w:ind w:left="28" w:hanging="2"/>
              <w:jc w:val="both"/>
              <w:rPr>
                <w:iCs/>
                <w:color w:val="auto"/>
                <w:lang w:val="id-ID" w:eastAsia="en-US"/>
              </w:rPr>
            </w:pPr>
            <w:proofErr w:type="spellStart"/>
            <w:r w:rsidRPr="007D3C62">
              <w:rPr>
                <w:iCs/>
                <w:color w:val="auto"/>
                <w:lang w:val="en-AU" w:eastAsia="en-US"/>
              </w:rPr>
              <w:t>Topten</w:t>
            </w:r>
            <w:proofErr w:type="spellEnd"/>
            <w:r w:rsidRPr="007D3C62">
              <w:rPr>
                <w:iCs/>
                <w:color w:val="auto"/>
                <w:lang w:val="en-AU" w:eastAsia="en-US"/>
              </w:rPr>
              <w:t xml:space="preserve"> 10. Cognitive flexibility</w:t>
            </w:r>
          </w:p>
          <w:p w14:paraId="3BB31000" w14:textId="77777777" w:rsidR="007D3C62" w:rsidRPr="007D3C62" w:rsidRDefault="007D3C62" w:rsidP="00BD0F84">
            <w:pPr>
              <w:tabs>
                <w:tab w:val="left" w:pos="851"/>
              </w:tabs>
              <w:ind w:left="456"/>
              <w:jc w:val="both"/>
              <w:rPr>
                <w:iCs/>
                <w:color w:val="auto"/>
                <w:lang w:val="id-ID" w:eastAsia="en-US"/>
              </w:rPr>
            </w:pPr>
          </w:p>
          <w:p w14:paraId="5F799CE0" w14:textId="77777777" w:rsidR="007D3C62" w:rsidRPr="007D3C62" w:rsidRDefault="007D3C62" w:rsidP="00BD0F84">
            <w:pPr>
              <w:tabs>
                <w:tab w:val="left" w:pos="851"/>
              </w:tabs>
              <w:ind w:left="456" w:hanging="2"/>
              <w:jc w:val="both"/>
              <w:rPr>
                <w:iCs/>
                <w:color w:val="auto"/>
                <w:lang w:val="en-AU" w:eastAsia="en-US"/>
              </w:rPr>
            </w:pPr>
          </w:p>
        </w:tc>
      </w:tr>
    </w:tbl>
    <w:p w14:paraId="3629638F" w14:textId="77777777" w:rsidR="00BD49FE" w:rsidRDefault="00BD49FE" w:rsidP="007D3C62">
      <w:pPr>
        <w:ind w:firstLine="360"/>
        <w:jc w:val="both"/>
        <w:rPr>
          <w:color w:val="auto"/>
          <w:lang w:val="en-ID" w:eastAsia="en-US"/>
        </w:rPr>
      </w:pPr>
    </w:p>
    <w:p w14:paraId="1FF5D39D" w14:textId="3B55AFCF" w:rsidR="007D3C62" w:rsidRPr="007D3C62" w:rsidRDefault="007D3C62" w:rsidP="007D3C62">
      <w:pPr>
        <w:ind w:firstLine="360"/>
        <w:jc w:val="both"/>
        <w:rPr>
          <w:color w:val="auto"/>
          <w:lang w:val="en-ID" w:eastAsia="en-US"/>
        </w:rPr>
      </w:pPr>
      <w:r w:rsidRPr="007D3C62">
        <w:rPr>
          <w:color w:val="auto"/>
          <w:lang w:val="en-ID" w:eastAsia="en-US"/>
        </w:rPr>
        <w:t xml:space="preserve">The instruments compiled in this study were initially 34 items. After reviewing and evaluating by 13 experts then calculated using Aiken's Formula, the number of items becomes 32. According to Aiken </w:t>
      </w:r>
      <w:r w:rsidR="00E52CCE">
        <w:rPr>
          <w:color w:val="auto"/>
          <w:lang w:val="en-ID" w:eastAsia="en-US"/>
        </w:rPr>
        <w:t>[15]</w:t>
      </w:r>
      <w:r w:rsidRPr="007D3C62">
        <w:rPr>
          <w:color w:val="auto"/>
          <w:lang w:val="en-ID" w:eastAsia="en-US"/>
        </w:rPr>
        <w:t xml:space="preserve">, if the instrument </w:t>
      </w:r>
      <w:proofErr w:type="spellStart"/>
      <w:r w:rsidRPr="007D3C62">
        <w:rPr>
          <w:color w:val="auto"/>
          <w:lang w:val="en-ID" w:eastAsia="en-US"/>
        </w:rPr>
        <w:t>rater</w:t>
      </w:r>
      <w:proofErr w:type="spellEnd"/>
      <w:r w:rsidRPr="007D3C62">
        <w:rPr>
          <w:color w:val="auto"/>
          <w:lang w:val="en-ID" w:eastAsia="en-US"/>
        </w:rPr>
        <w:t xml:space="preserve"> is 13 and the </w:t>
      </w:r>
      <w:proofErr w:type="spellStart"/>
      <w:r w:rsidRPr="007D3C62">
        <w:rPr>
          <w:color w:val="auto"/>
          <w:lang w:val="en-ID" w:eastAsia="en-US"/>
        </w:rPr>
        <w:t>thera</w:t>
      </w:r>
      <w:proofErr w:type="spellEnd"/>
      <w:r w:rsidRPr="007D3C62">
        <w:rPr>
          <w:color w:val="auto"/>
          <w:lang w:val="en-ID" w:eastAsia="en-US"/>
        </w:rPr>
        <w:t xml:space="preserve"> are 5 choices for each item, then the minimum V value is 0.75. The results of Aiken's Formula analysis on this instrument show that items number 22 and 24 do not meet the minimum V value (0.38 and 0.5).</w:t>
      </w:r>
    </w:p>
    <w:p w14:paraId="34C3F0CC" w14:textId="423C0C8D" w:rsidR="007D3C62" w:rsidRPr="007D3C62" w:rsidRDefault="007D3C62" w:rsidP="007D3C62">
      <w:pPr>
        <w:ind w:firstLine="360"/>
        <w:jc w:val="both"/>
        <w:rPr>
          <w:color w:val="auto"/>
          <w:lang w:val="en-ID" w:eastAsia="en-US"/>
        </w:rPr>
      </w:pPr>
      <w:r w:rsidRPr="007D3C62">
        <w:rPr>
          <w:color w:val="auto"/>
          <w:lang w:val="en-ID" w:eastAsia="en-US"/>
        </w:rPr>
        <w:t>Furthermore the instrument was validated by the construct using exploratory factor analysis (EFA) techniques. This construct validation shows that there are 3 conflicting items because anti images are less than 0.5; so the remaining items are 29 items. EFA analysis of the instrument continued by considering the value of the Kaiser-Mayer-</w:t>
      </w:r>
      <w:proofErr w:type="spellStart"/>
      <w:r w:rsidRPr="007D3C62">
        <w:rPr>
          <w:color w:val="auto"/>
          <w:lang w:val="en-ID" w:eastAsia="en-US"/>
        </w:rPr>
        <w:t>Olikin</w:t>
      </w:r>
      <w:proofErr w:type="spellEnd"/>
      <w:r w:rsidRPr="007D3C62">
        <w:rPr>
          <w:color w:val="auto"/>
          <w:lang w:val="en-ID" w:eastAsia="en-US"/>
        </w:rPr>
        <w:t xml:space="preserve"> Sample </w:t>
      </w:r>
      <w:proofErr w:type="spellStart"/>
      <w:r w:rsidRPr="007D3C62">
        <w:rPr>
          <w:color w:val="auto"/>
          <w:lang w:val="en-ID" w:eastAsia="en-US"/>
        </w:rPr>
        <w:t>Sufficeiency</w:t>
      </w:r>
      <w:proofErr w:type="spellEnd"/>
      <w:r w:rsidRPr="007D3C62">
        <w:rPr>
          <w:color w:val="auto"/>
          <w:lang w:val="en-ID" w:eastAsia="en-US"/>
        </w:rPr>
        <w:t xml:space="preserve"> of Sampling (KMO) with a standard of 0.510. Each item of this instrument has an anti-image coefficient of &gt;0.5, meaning that all items meet the requirements in factor analysis. The results of the analysis with the second EFA showed that all items were accepted because they had a minimum load factor of 0.</w:t>
      </w:r>
      <w:r w:rsidRPr="005D0A9B">
        <w:rPr>
          <w:color w:val="auto"/>
          <w:lang w:val="en-ID" w:eastAsia="en-US"/>
        </w:rPr>
        <w:t>311</w:t>
      </w:r>
      <w:r w:rsidR="00E52CCE" w:rsidRPr="005D0A9B">
        <w:rPr>
          <w:color w:val="auto"/>
          <w:lang w:val="en-ID" w:eastAsia="en-US"/>
        </w:rPr>
        <w:t xml:space="preserve"> [1</w:t>
      </w:r>
      <w:r w:rsidR="00C80D0E" w:rsidRPr="005D0A9B">
        <w:rPr>
          <w:color w:val="auto"/>
          <w:lang w:val="en-ID" w:eastAsia="en-US"/>
        </w:rPr>
        <w:t>6</w:t>
      </w:r>
      <w:r w:rsidR="00E52CCE" w:rsidRPr="005D0A9B">
        <w:rPr>
          <w:color w:val="auto"/>
          <w:lang w:val="en-ID" w:eastAsia="en-US"/>
        </w:rPr>
        <w:t>]</w:t>
      </w:r>
      <w:r w:rsidRPr="005D0A9B">
        <w:rPr>
          <w:color w:val="auto"/>
          <w:lang w:val="en-ID" w:eastAsia="en-US"/>
        </w:rPr>
        <w:t>.</w:t>
      </w:r>
      <w:r w:rsidRPr="007D3C62">
        <w:rPr>
          <w:color w:val="auto"/>
          <w:lang w:val="en-ID" w:eastAsia="en-US"/>
        </w:rPr>
        <w:t xml:space="preserve"> The variants issued by the five factors are only 50.53%, so that about 47% of pre-service teacher's personal competence are explained by other factors.</w:t>
      </w:r>
    </w:p>
    <w:p w14:paraId="5BF995E1" w14:textId="2588F118" w:rsidR="007D3C62" w:rsidRPr="007D3C62" w:rsidRDefault="007D3C62" w:rsidP="007D3C62">
      <w:pPr>
        <w:ind w:firstLine="360"/>
        <w:jc w:val="both"/>
        <w:rPr>
          <w:color w:val="auto"/>
          <w:lang w:val="en-ID" w:eastAsia="en-US"/>
        </w:rPr>
      </w:pPr>
      <w:r w:rsidRPr="007D3C62">
        <w:rPr>
          <w:color w:val="auto"/>
          <w:lang w:val="en-ID" w:eastAsia="en-US"/>
        </w:rPr>
        <w:t xml:space="preserve">The EFA results above can be widely applied if a confirmatory factor analysis (CFA) has been carried out. This is in accordance with Cramer </w:t>
      </w:r>
      <w:r w:rsidR="00E52CCE">
        <w:rPr>
          <w:color w:val="auto"/>
          <w:lang w:val="en-ID" w:eastAsia="en-US"/>
        </w:rPr>
        <w:t>[1</w:t>
      </w:r>
      <w:r w:rsidR="00C80D0E">
        <w:rPr>
          <w:color w:val="auto"/>
          <w:lang w:val="en-ID" w:eastAsia="en-US"/>
        </w:rPr>
        <w:t>7</w:t>
      </w:r>
      <w:r w:rsidR="00E52CCE">
        <w:rPr>
          <w:color w:val="auto"/>
          <w:lang w:val="en-ID" w:eastAsia="en-US"/>
        </w:rPr>
        <w:t xml:space="preserve">] </w:t>
      </w:r>
      <w:r w:rsidRPr="007D3C62">
        <w:rPr>
          <w:color w:val="auto"/>
          <w:lang w:val="en-ID" w:eastAsia="en-US"/>
        </w:rPr>
        <w:t xml:space="preserve">which states that EFA explores theories and CFA tests theories. </w:t>
      </w:r>
      <w:r w:rsidRPr="007D3C62">
        <w:rPr>
          <w:color w:val="auto"/>
          <w:lang w:val="en-AU" w:eastAsia="en-US"/>
        </w:rPr>
        <w:t>The result of the confirmatory factor analysis with CFA is shown in Figure 1.</w:t>
      </w:r>
      <w:r w:rsidRPr="007D3C62">
        <w:rPr>
          <w:color w:val="auto"/>
          <w:lang w:val="en-ID" w:eastAsia="en-US"/>
        </w:rPr>
        <w:t xml:space="preserve"> </w:t>
      </w:r>
    </w:p>
    <w:p w14:paraId="09F7E487" w14:textId="0A952116" w:rsidR="007D3C62" w:rsidRPr="007D3C62" w:rsidRDefault="007D3C62" w:rsidP="00BD49FE">
      <w:pPr>
        <w:spacing w:line="260" w:lineRule="atLeast"/>
        <w:jc w:val="center"/>
        <w:rPr>
          <w:color w:val="auto"/>
          <w:lang w:val="en-ID" w:eastAsia="en-US"/>
        </w:rPr>
      </w:pPr>
      <w:r w:rsidRPr="007D3C62">
        <w:rPr>
          <w:color w:val="auto"/>
          <w:lang w:val="en-ID" w:eastAsia="en-US"/>
        </w:rPr>
        <w:t>Figure 1.</w:t>
      </w:r>
      <w:r w:rsidR="00BD49FE">
        <w:rPr>
          <w:color w:val="auto"/>
          <w:lang w:val="en-ID" w:eastAsia="en-US"/>
        </w:rPr>
        <w:t xml:space="preserve"> </w:t>
      </w:r>
      <w:r w:rsidRPr="007D3C62">
        <w:rPr>
          <w:color w:val="auto"/>
          <w:lang w:val="en-AU" w:eastAsia="en-US"/>
        </w:rPr>
        <w:t>The result of the confirmatory factor analysis with CFA</w:t>
      </w:r>
    </w:p>
    <w:p w14:paraId="0606BEED" w14:textId="1E02F2FC" w:rsidR="007D3C62" w:rsidRPr="007D3C62" w:rsidRDefault="007D3C62" w:rsidP="00BD49FE">
      <w:pPr>
        <w:spacing w:before="120" w:line="260" w:lineRule="atLeast"/>
        <w:jc w:val="center"/>
        <w:rPr>
          <w:color w:val="auto"/>
          <w:lang w:val="en-US" w:eastAsia="en-US"/>
        </w:rPr>
      </w:pPr>
      <w:r>
        <w:rPr>
          <w:noProof/>
          <w:color w:val="auto"/>
          <w:lang w:val="en-US" w:eastAsia="en-US"/>
        </w:rPr>
        <w:lastRenderedPageBreak/>
        <w:drawing>
          <wp:inline distT="0" distB="0" distL="0" distR="0" wp14:anchorId="66BD190C" wp14:editId="7E22F44C">
            <wp:extent cx="2834640" cy="41922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4640" cy="4192270"/>
                    </a:xfrm>
                    <a:prstGeom prst="rect">
                      <a:avLst/>
                    </a:prstGeom>
                    <a:noFill/>
                  </pic:spPr>
                </pic:pic>
              </a:graphicData>
            </a:graphic>
          </wp:inline>
        </w:drawing>
      </w:r>
    </w:p>
    <w:p w14:paraId="4BD74032" w14:textId="77777777" w:rsidR="007D3C62" w:rsidRPr="007D3C62" w:rsidRDefault="007D3C62" w:rsidP="007D3C62">
      <w:pPr>
        <w:spacing w:line="260" w:lineRule="atLeast"/>
        <w:ind w:firstLine="720"/>
        <w:jc w:val="both"/>
        <w:rPr>
          <w:color w:val="auto"/>
          <w:lang w:val="en-AU" w:eastAsia="en-US"/>
        </w:rPr>
      </w:pPr>
    </w:p>
    <w:p w14:paraId="1BC69D8D" w14:textId="09823226" w:rsidR="007D3C62" w:rsidRDefault="007D3C62" w:rsidP="007D3C62">
      <w:pPr>
        <w:ind w:firstLine="360"/>
        <w:jc w:val="both"/>
        <w:rPr>
          <w:color w:val="auto"/>
          <w:lang w:val="en-ID" w:eastAsia="en-US"/>
        </w:rPr>
      </w:pPr>
      <w:r w:rsidRPr="007D3C62">
        <w:rPr>
          <w:color w:val="auto"/>
          <w:lang w:val="en-ID" w:eastAsia="en-US"/>
        </w:rPr>
        <w:t>Figure</w:t>
      </w:r>
      <w:r w:rsidRPr="007D3C62">
        <w:rPr>
          <w:color w:val="auto"/>
          <w:lang w:val="en-AU" w:eastAsia="en-US"/>
        </w:rPr>
        <w:t xml:space="preserve"> 1 shows that Chi-square is smaller than 2 df (333.3 &lt;2x372) </w:t>
      </w:r>
      <w:r w:rsidR="00C80D0E">
        <w:rPr>
          <w:color w:val="auto"/>
          <w:lang w:val="en-AU" w:eastAsia="en-US"/>
        </w:rPr>
        <w:t>[18]</w:t>
      </w:r>
      <w:r w:rsidRPr="007D3C62">
        <w:rPr>
          <w:color w:val="auto"/>
          <w:lang w:val="en-AU" w:eastAsia="en-US"/>
        </w:rPr>
        <w:t>, p-value = 0.923 (&gt; 0.05</w:t>
      </w:r>
      <w:r w:rsidR="00E669EA">
        <w:rPr>
          <w:color w:val="auto"/>
          <w:lang w:val="en-AU" w:eastAsia="en-US"/>
        </w:rPr>
        <w:t xml:space="preserve"> [</w:t>
      </w:r>
      <w:r w:rsidR="00C80D0E" w:rsidRPr="00DA655B">
        <w:rPr>
          <w:color w:val="auto"/>
          <w:lang w:val="en-AU" w:eastAsia="en-US"/>
        </w:rPr>
        <w:t>19]</w:t>
      </w:r>
      <w:r w:rsidRPr="00DA655B">
        <w:rPr>
          <w:color w:val="auto"/>
          <w:lang w:val="en-AU" w:eastAsia="en-US"/>
        </w:rPr>
        <w:t>),</w:t>
      </w:r>
      <w:r w:rsidRPr="007D3C62">
        <w:rPr>
          <w:color w:val="auto"/>
          <w:lang w:val="en-AU" w:eastAsia="en-US"/>
        </w:rPr>
        <w:t xml:space="preserve"> RSMEA = 0.00 (&lt;0,08</w:t>
      </w:r>
      <w:r w:rsidR="00E669EA">
        <w:rPr>
          <w:color w:val="auto"/>
          <w:lang w:val="en-AU" w:eastAsia="en-US"/>
        </w:rPr>
        <w:t xml:space="preserve"> </w:t>
      </w:r>
      <w:r w:rsidR="00C80D0E" w:rsidRPr="009857F3">
        <w:rPr>
          <w:color w:val="auto"/>
          <w:lang w:val="en-AU" w:eastAsia="en-US"/>
        </w:rPr>
        <w:t>[20]</w:t>
      </w:r>
      <w:r w:rsidRPr="009857F3">
        <w:rPr>
          <w:color w:val="auto"/>
          <w:lang w:val="en-AU" w:eastAsia="en-US"/>
        </w:rPr>
        <w:t>).</w:t>
      </w:r>
      <w:r w:rsidRPr="007D3C62">
        <w:rPr>
          <w:color w:val="auto"/>
          <w:lang w:val="en-ID" w:eastAsia="en-US"/>
        </w:rPr>
        <w:t xml:space="preserve"> This means that the developed instrument has good construct validity. Meanwhile, the results of the estimated reliability with Cronbach Alpha show the number 0.32 (quite reliable)</w:t>
      </w:r>
      <w:r w:rsidR="00DA655B">
        <w:rPr>
          <w:color w:val="auto"/>
          <w:lang w:val="en-ID" w:eastAsia="en-US"/>
        </w:rPr>
        <w:t xml:space="preserve"> [21]</w:t>
      </w:r>
      <w:r w:rsidRPr="007D3C62">
        <w:rPr>
          <w:color w:val="auto"/>
          <w:lang w:val="en-ID" w:eastAsia="en-US"/>
        </w:rPr>
        <w:t xml:space="preserve">. The final product of this study is an instrument used to measure the pre-service teacher's personality competence in the industrial revolution 4.0 (presented in Table 2). </w:t>
      </w:r>
    </w:p>
    <w:p w14:paraId="258CDB1B" w14:textId="77777777" w:rsidR="004F2C4F" w:rsidRPr="007D3C62" w:rsidRDefault="004F2C4F" w:rsidP="007D3C62">
      <w:pPr>
        <w:ind w:firstLine="360"/>
        <w:jc w:val="both"/>
        <w:rPr>
          <w:color w:val="auto"/>
          <w:lang w:val="en-ID" w:eastAsia="en-US"/>
        </w:rPr>
      </w:pPr>
    </w:p>
    <w:p w14:paraId="11143E92" w14:textId="650EC32F" w:rsidR="007D3C62" w:rsidRPr="007D3C62" w:rsidRDefault="007D3C62" w:rsidP="004F2C4F">
      <w:pPr>
        <w:spacing w:line="260" w:lineRule="atLeast"/>
        <w:jc w:val="both"/>
        <w:rPr>
          <w:bCs/>
          <w:color w:val="auto"/>
          <w:lang w:val="en-ID" w:eastAsia="en-US"/>
        </w:rPr>
      </w:pPr>
      <w:bookmarkStart w:id="1" w:name="_Hlk37922172"/>
      <w:r w:rsidRPr="007D3C62">
        <w:rPr>
          <w:bCs/>
          <w:color w:val="auto"/>
          <w:lang w:val="en-ID" w:eastAsia="en-US"/>
        </w:rPr>
        <w:t>Table 2.</w:t>
      </w:r>
      <w:r w:rsidR="004F2C4F">
        <w:rPr>
          <w:bCs/>
          <w:color w:val="auto"/>
          <w:lang w:val="en-ID" w:eastAsia="en-US"/>
        </w:rPr>
        <w:t xml:space="preserve"> </w:t>
      </w:r>
      <w:r w:rsidRPr="007D3C62">
        <w:rPr>
          <w:bCs/>
          <w:color w:val="auto"/>
          <w:lang w:val="en-ID" w:eastAsia="en-US"/>
        </w:rPr>
        <w:t>The Pre-Service Teacher's Competence Personality Instruments in The Industrial Revolution 4.0</w:t>
      </w:r>
    </w:p>
    <w:tbl>
      <w:tblPr>
        <w:tblW w:w="7163" w:type="dxa"/>
        <w:tblInd w:w="108" w:type="dxa"/>
        <w:tblLook w:val="04A0" w:firstRow="1" w:lastRow="0" w:firstColumn="1" w:lastColumn="0" w:noHBand="0" w:noVBand="1"/>
      </w:tblPr>
      <w:tblGrid>
        <w:gridCol w:w="1319"/>
        <w:gridCol w:w="4918"/>
        <w:gridCol w:w="926"/>
      </w:tblGrid>
      <w:tr w:rsidR="007D3C62" w:rsidRPr="007D3C62" w14:paraId="163D3BC7" w14:textId="77777777" w:rsidTr="006422BF">
        <w:tc>
          <w:tcPr>
            <w:tcW w:w="1319" w:type="dxa"/>
            <w:tcBorders>
              <w:top w:val="single" w:sz="4" w:space="0" w:color="auto"/>
              <w:bottom w:val="single" w:sz="4" w:space="0" w:color="auto"/>
            </w:tcBorders>
            <w:shd w:val="clear" w:color="auto" w:fill="auto"/>
            <w:vAlign w:val="center"/>
          </w:tcPr>
          <w:p w14:paraId="50B12AA0" w14:textId="77777777" w:rsidR="007D3C62" w:rsidRPr="007D3C62" w:rsidRDefault="007D3C62" w:rsidP="007D3C62">
            <w:pPr>
              <w:autoSpaceDE w:val="0"/>
              <w:autoSpaceDN w:val="0"/>
              <w:adjustRightInd w:val="0"/>
              <w:jc w:val="center"/>
              <w:rPr>
                <w:b/>
                <w:bCs/>
                <w:color w:val="auto"/>
                <w:sz w:val="18"/>
                <w:szCs w:val="18"/>
                <w:lang w:val="en-AU" w:eastAsia="en-US"/>
              </w:rPr>
            </w:pPr>
            <w:r w:rsidRPr="007D3C62">
              <w:rPr>
                <w:b/>
                <w:bCs/>
                <w:color w:val="auto"/>
                <w:sz w:val="18"/>
                <w:szCs w:val="18"/>
                <w:lang w:val="en-AU" w:eastAsia="en-US"/>
              </w:rPr>
              <w:t>Indicator</w:t>
            </w:r>
          </w:p>
        </w:tc>
        <w:tc>
          <w:tcPr>
            <w:tcW w:w="4918" w:type="dxa"/>
            <w:tcBorders>
              <w:top w:val="single" w:sz="4" w:space="0" w:color="auto"/>
              <w:bottom w:val="single" w:sz="4" w:space="0" w:color="auto"/>
            </w:tcBorders>
            <w:shd w:val="clear" w:color="auto" w:fill="auto"/>
            <w:vAlign w:val="center"/>
          </w:tcPr>
          <w:p w14:paraId="37BD0FD2" w14:textId="77777777" w:rsidR="007D3C62" w:rsidRPr="007D3C62" w:rsidRDefault="007D3C62" w:rsidP="007D3C62">
            <w:pPr>
              <w:ind w:hanging="2"/>
              <w:jc w:val="center"/>
              <w:rPr>
                <w:b/>
                <w:bCs/>
                <w:color w:val="auto"/>
                <w:sz w:val="18"/>
                <w:szCs w:val="18"/>
                <w:lang w:val="en-AU" w:eastAsia="en-US"/>
              </w:rPr>
            </w:pPr>
            <w:r w:rsidRPr="007D3C62">
              <w:rPr>
                <w:b/>
                <w:bCs/>
                <w:color w:val="auto"/>
                <w:sz w:val="18"/>
                <w:szCs w:val="18"/>
                <w:lang w:val="en-AU" w:eastAsia="en-US"/>
              </w:rPr>
              <w:t>Item</w:t>
            </w:r>
          </w:p>
        </w:tc>
        <w:tc>
          <w:tcPr>
            <w:tcW w:w="926" w:type="dxa"/>
            <w:tcBorders>
              <w:top w:val="single" w:sz="4" w:space="0" w:color="auto"/>
              <w:bottom w:val="single" w:sz="4" w:space="0" w:color="auto"/>
            </w:tcBorders>
            <w:shd w:val="clear" w:color="auto" w:fill="auto"/>
            <w:vAlign w:val="center"/>
          </w:tcPr>
          <w:p w14:paraId="6B14C101" w14:textId="77777777" w:rsidR="007D3C62" w:rsidRPr="007D3C62" w:rsidRDefault="007D3C62" w:rsidP="007D3C62">
            <w:pPr>
              <w:ind w:hanging="2"/>
              <w:jc w:val="center"/>
              <w:rPr>
                <w:b/>
                <w:bCs/>
                <w:color w:val="auto"/>
                <w:sz w:val="18"/>
                <w:szCs w:val="18"/>
                <w:lang w:val="en-AU" w:eastAsia="en-US"/>
              </w:rPr>
            </w:pPr>
            <w:r w:rsidRPr="007D3C62">
              <w:rPr>
                <w:b/>
                <w:bCs/>
                <w:color w:val="auto"/>
                <w:sz w:val="18"/>
                <w:szCs w:val="18"/>
                <w:lang w:val="en-AU" w:eastAsia="en-US"/>
              </w:rPr>
              <w:t>Loading Factor</w:t>
            </w:r>
          </w:p>
        </w:tc>
      </w:tr>
      <w:tr w:rsidR="007D3C62" w:rsidRPr="007D3C62" w14:paraId="131CA0FB" w14:textId="77777777" w:rsidTr="006422BF">
        <w:trPr>
          <w:trHeight w:val="310"/>
        </w:trPr>
        <w:tc>
          <w:tcPr>
            <w:tcW w:w="1319" w:type="dxa"/>
            <w:vMerge w:val="restart"/>
            <w:tcBorders>
              <w:top w:val="single" w:sz="4" w:space="0" w:color="auto"/>
            </w:tcBorders>
            <w:shd w:val="clear" w:color="auto" w:fill="auto"/>
          </w:tcPr>
          <w:p w14:paraId="462AF0DF" w14:textId="77777777" w:rsidR="007D3C62" w:rsidRPr="007D3C62" w:rsidRDefault="007D3C62" w:rsidP="007D3C62">
            <w:pPr>
              <w:autoSpaceDE w:val="0"/>
              <w:autoSpaceDN w:val="0"/>
              <w:adjustRightInd w:val="0"/>
              <w:ind w:left="-36"/>
              <w:contextualSpacing/>
              <w:rPr>
                <w:color w:val="auto"/>
                <w:sz w:val="18"/>
                <w:szCs w:val="18"/>
                <w:lang w:val="id-ID" w:eastAsia="en-US"/>
              </w:rPr>
            </w:pPr>
            <w:r w:rsidRPr="007D3C62">
              <w:rPr>
                <w:color w:val="auto"/>
                <w:sz w:val="18"/>
                <w:szCs w:val="18"/>
                <w:lang w:val="en-ID" w:eastAsia="en-US"/>
              </w:rPr>
              <w:t xml:space="preserve">Act in accordance with Indonesian national religious, legal, </w:t>
            </w:r>
            <w:r w:rsidRPr="007D3C62">
              <w:rPr>
                <w:color w:val="auto"/>
                <w:sz w:val="18"/>
                <w:szCs w:val="18"/>
                <w:lang w:val="en-ID" w:eastAsia="en-US"/>
              </w:rPr>
              <w:lastRenderedPageBreak/>
              <w:t>social and cultural norms</w:t>
            </w:r>
          </w:p>
        </w:tc>
        <w:tc>
          <w:tcPr>
            <w:tcW w:w="4918" w:type="dxa"/>
            <w:tcBorders>
              <w:top w:val="single" w:sz="4" w:space="0" w:color="auto"/>
              <w:bottom w:val="single" w:sz="4" w:space="0" w:color="auto"/>
            </w:tcBorders>
            <w:shd w:val="clear" w:color="auto" w:fill="auto"/>
          </w:tcPr>
          <w:p w14:paraId="786781F6"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lastRenderedPageBreak/>
              <w:t>Treat students with the same treatment despite having different beliefs.</w:t>
            </w:r>
          </w:p>
        </w:tc>
        <w:tc>
          <w:tcPr>
            <w:tcW w:w="926" w:type="dxa"/>
            <w:tcBorders>
              <w:top w:val="single" w:sz="4" w:space="0" w:color="auto"/>
              <w:bottom w:val="single" w:sz="4" w:space="0" w:color="auto"/>
            </w:tcBorders>
            <w:shd w:val="clear" w:color="auto" w:fill="auto"/>
          </w:tcPr>
          <w:p w14:paraId="35F1AA3C"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0,20</w:t>
            </w:r>
          </w:p>
        </w:tc>
      </w:tr>
      <w:tr w:rsidR="007D3C62" w:rsidRPr="007D3C62" w14:paraId="13F0C3F0" w14:textId="77777777" w:rsidTr="006422BF">
        <w:trPr>
          <w:trHeight w:val="70"/>
        </w:trPr>
        <w:tc>
          <w:tcPr>
            <w:tcW w:w="1319" w:type="dxa"/>
            <w:vMerge/>
            <w:shd w:val="clear" w:color="auto" w:fill="auto"/>
          </w:tcPr>
          <w:p w14:paraId="4C588736" w14:textId="77777777" w:rsidR="007D3C62" w:rsidRPr="007D3C62" w:rsidRDefault="007D3C62" w:rsidP="007D3C62">
            <w:pPr>
              <w:autoSpaceDE w:val="0"/>
              <w:autoSpaceDN w:val="0"/>
              <w:adjustRightInd w:val="0"/>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7B480E23"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Conduct learning activities without differentiating the ethnicity, customs, and region of origin of students.</w:t>
            </w:r>
          </w:p>
        </w:tc>
        <w:tc>
          <w:tcPr>
            <w:tcW w:w="926" w:type="dxa"/>
            <w:tcBorders>
              <w:top w:val="single" w:sz="4" w:space="0" w:color="auto"/>
              <w:bottom w:val="single" w:sz="4" w:space="0" w:color="auto"/>
            </w:tcBorders>
            <w:shd w:val="clear" w:color="auto" w:fill="auto"/>
          </w:tcPr>
          <w:p w14:paraId="165347A8"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-0,27</w:t>
            </w:r>
          </w:p>
        </w:tc>
      </w:tr>
      <w:tr w:rsidR="007D3C62" w:rsidRPr="007D3C62" w14:paraId="0EE3E420" w14:textId="77777777" w:rsidTr="006422BF">
        <w:tc>
          <w:tcPr>
            <w:tcW w:w="1319" w:type="dxa"/>
            <w:vMerge/>
            <w:shd w:val="clear" w:color="auto" w:fill="auto"/>
          </w:tcPr>
          <w:p w14:paraId="169981BE" w14:textId="77777777" w:rsidR="007D3C62" w:rsidRPr="007D3C62" w:rsidRDefault="007D3C62" w:rsidP="007D3C62">
            <w:pPr>
              <w:autoSpaceDE w:val="0"/>
              <w:autoSpaceDN w:val="0"/>
              <w:adjustRightInd w:val="0"/>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1A13084E"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Treat students without gender discrimination.</w:t>
            </w:r>
          </w:p>
        </w:tc>
        <w:tc>
          <w:tcPr>
            <w:tcW w:w="926" w:type="dxa"/>
            <w:tcBorders>
              <w:top w:val="single" w:sz="4" w:space="0" w:color="auto"/>
              <w:bottom w:val="single" w:sz="4" w:space="0" w:color="auto"/>
            </w:tcBorders>
            <w:shd w:val="clear" w:color="auto" w:fill="auto"/>
          </w:tcPr>
          <w:p w14:paraId="6732473D"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-0,33</w:t>
            </w:r>
          </w:p>
        </w:tc>
      </w:tr>
      <w:tr w:rsidR="007D3C62" w:rsidRPr="007D3C62" w14:paraId="6D9AF346" w14:textId="77777777" w:rsidTr="006422BF">
        <w:tc>
          <w:tcPr>
            <w:tcW w:w="1319" w:type="dxa"/>
            <w:vMerge/>
            <w:shd w:val="clear" w:color="auto" w:fill="auto"/>
          </w:tcPr>
          <w:p w14:paraId="57B367DB" w14:textId="77777777" w:rsidR="007D3C62" w:rsidRPr="007D3C62" w:rsidRDefault="007D3C62" w:rsidP="007D3C62">
            <w:pPr>
              <w:autoSpaceDE w:val="0"/>
              <w:autoSpaceDN w:val="0"/>
              <w:adjustRightInd w:val="0"/>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18A41A4C"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Behave according to the religious norms adopted.</w:t>
            </w:r>
          </w:p>
        </w:tc>
        <w:tc>
          <w:tcPr>
            <w:tcW w:w="926" w:type="dxa"/>
            <w:tcBorders>
              <w:top w:val="single" w:sz="4" w:space="0" w:color="auto"/>
              <w:bottom w:val="single" w:sz="4" w:space="0" w:color="auto"/>
            </w:tcBorders>
            <w:shd w:val="clear" w:color="auto" w:fill="auto"/>
          </w:tcPr>
          <w:p w14:paraId="6A919200"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-0,55</w:t>
            </w:r>
          </w:p>
        </w:tc>
      </w:tr>
      <w:tr w:rsidR="007D3C62" w:rsidRPr="007D3C62" w14:paraId="5144001C" w14:textId="77777777" w:rsidTr="006422BF">
        <w:tc>
          <w:tcPr>
            <w:tcW w:w="1319" w:type="dxa"/>
            <w:vMerge/>
            <w:shd w:val="clear" w:color="auto" w:fill="auto"/>
          </w:tcPr>
          <w:p w14:paraId="6C73A622" w14:textId="77777777" w:rsidR="007D3C62" w:rsidRPr="007D3C62" w:rsidRDefault="007D3C62" w:rsidP="007D3C62">
            <w:pPr>
              <w:autoSpaceDE w:val="0"/>
              <w:autoSpaceDN w:val="0"/>
              <w:adjustRightInd w:val="0"/>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2BB96129"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Behave according to social norms prevailing in society.</w:t>
            </w:r>
          </w:p>
        </w:tc>
        <w:tc>
          <w:tcPr>
            <w:tcW w:w="926" w:type="dxa"/>
            <w:tcBorders>
              <w:top w:val="single" w:sz="4" w:space="0" w:color="auto"/>
              <w:bottom w:val="single" w:sz="4" w:space="0" w:color="auto"/>
            </w:tcBorders>
            <w:shd w:val="clear" w:color="auto" w:fill="auto"/>
          </w:tcPr>
          <w:p w14:paraId="01D130A6"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-0,47</w:t>
            </w:r>
          </w:p>
        </w:tc>
      </w:tr>
      <w:tr w:rsidR="007D3C62" w:rsidRPr="007D3C62" w14:paraId="6D08A054" w14:textId="77777777" w:rsidTr="006422BF">
        <w:tc>
          <w:tcPr>
            <w:tcW w:w="1319" w:type="dxa"/>
            <w:vMerge/>
            <w:tcBorders>
              <w:bottom w:val="single" w:sz="4" w:space="0" w:color="auto"/>
            </w:tcBorders>
            <w:shd w:val="clear" w:color="auto" w:fill="auto"/>
          </w:tcPr>
          <w:p w14:paraId="38C507AB" w14:textId="77777777" w:rsidR="007D3C62" w:rsidRPr="007D3C62" w:rsidRDefault="007D3C62" w:rsidP="007D3C62">
            <w:pPr>
              <w:autoSpaceDE w:val="0"/>
              <w:autoSpaceDN w:val="0"/>
              <w:adjustRightInd w:val="0"/>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79C3FF43"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Able to collaborate with others in maintaining and developing Indonesian culture.</w:t>
            </w:r>
          </w:p>
        </w:tc>
        <w:tc>
          <w:tcPr>
            <w:tcW w:w="926" w:type="dxa"/>
            <w:tcBorders>
              <w:top w:val="single" w:sz="4" w:space="0" w:color="auto"/>
              <w:bottom w:val="single" w:sz="4" w:space="0" w:color="auto"/>
            </w:tcBorders>
            <w:shd w:val="clear" w:color="auto" w:fill="auto"/>
          </w:tcPr>
          <w:p w14:paraId="6F24ACDE"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-0,57</w:t>
            </w:r>
          </w:p>
        </w:tc>
      </w:tr>
      <w:tr w:rsidR="007D3C62" w:rsidRPr="007D3C62" w14:paraId="5739F27E" w14:textId="77777777" w:rsidTr="006422BF">
        <w:tc>
          <w:tcPr>
            <w:tcW w:w="1319" w:type="dxa"/>
            <w:vMerge w:val="restart"/>
            <w:tcBorders>
              <w:top w:val="single" w:sz="4" w:space="0" w:color="auto"/>
            </w:tcBorders>
            <w:shd w:val="clear" w:color="auto" w:fill="auto"/>
          </w:tcPr>
          <w:p w14:paraId="7EFBB511" w14:textId="77777777" w:rsidR="007D3C62" w:rsidRPr="007D3C62" w:rsidRDefault="007D3C62" w:rsidP="007D3C62">
            <w:pPr>
              <w:autoSpaceDE w:val="0"/>
              <w:autoSpaceDN w:val="0"/>
              <w:adjustRightInd w:val="0"/>
              <w:ind w:left="-36"/>
              <w:contextualSpacing/>
              <w:rPr>
                <w:color w:val="auto"/>
                <w:sz w:val="18"/>
                <w:szCs w:val="18"/>
                <w:lang w:val="id-ID" w:eastAsia="en-US"/>
              </w:rPr>
            </w:pPr>
            <w:r w:rsidRPr="007D3C62">
              <w:rPr>
                <w:color w:val="auto"/>
                <w:sz w:val="18"/>
                <w:szCs w:val="18"/>
                <w:lang w:val="en-ID" w:eastAsia="en-US"/>
              </w:rPr>
              <w:lastRenderedPageBreak/>
              <w:t>Presents themselves as honest, noble, and role models for students and the community</w:t>
            </w:r>
          </w:p>
        </w:tc>
        <w:tc>
          <w:tcPr>
            <w:tcW w:w="4918" w:type="dxa"/>
            <w:tcBorders>
              <w:top w:val="single" w:sz="4" w:space="0" w:color="auto"/>
              <w:bottom w:val="single" w:sz="4" w:space="0" w:color="auto"/>
            </w:tcBorders>
            <w:shd w:val="clear" w:color="auto" w:fill="auto"/>
          </w:tcPr>
          <w:p w14:paraId="195E4570"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Able to produce work objectively and ethically.</w:t>
            </w:r>
          </w:p>
        </w:tc>
        <w:tc>
          <w:tcPr>
            <w:tcW w:w="926" w:type="dxa"/>
            <w:tcBorders>
              <w:top w:val="single" w:sz="4" w:space="0" w:color="auto"/>
              <w:bottom w:val="single" w:sz="4" w:space="0" w:color="auto"/>
            </w:tcBorders>
            <w:shd w:val="clear" w:color="auto" w:fill="auto"/>
          </w:tcPr>
          <w:p w14:paraId="509AA1B1"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0,42</w:t>
            </w:r>
          </w:p>
        </w:tc>
      </w:tr>
      <w:tr w:rsidR="007D3C62" w:rsidRPr="007D3C62" w14:paraId="161B1942" w14:textId="77777777" w:rsidTr="006422BF">
        <w:tc>
          <w:tcPr>
            <w:tcW w:w="1319" w:type="dxa"/>
            <w:vMerge/>
            <w:shd w:val="clear" w:color="auto" w:fill="auto"/>
          </w:tcPr>
          <w:p w14:paraId="6518BAE4"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00C6A4FC"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Behave decisively in making decisions based on data.</w:t>
            </w:r>
          </w:p>
        </w:tc>
        <w:tc>
          <w:tcPr>
            <w:tcW w:w="926" w:type="dxa"/>
            <w:tcBorders>
              <w:top w:val="single" w:sz="4" w:space="0" w:color="auto"/>
              <w:bottom w:val="single" w:sz="4" w:space="0" w:color="auto"/>
            </w:tcBorders>
            <w:shd w:val="clear" w:color="auto" w:fill="auto"/>
          </w:tcPr>
          <w:p w14:paraId="5FB3F717"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0,32</w:t>
            </w:r>
          </w:p>
        </w:tc>
      </w:tr>
      <w:tr w:rsidR="007D3C62" w:rsidRPr="007D3C62" w14:paraId="7190FB77" w14:textId="77777777" w:rsidTr="006422BF">
        <w:tc>
          <w:tcPr>
            <w:tcW w:w="1319" w:type="dxa"/>
            <w:vMerge/>
            <w:shd w:val="clear" w:color="auto" w:fill="auto"/>
          </w:tcPr>
          <w:p w14:paraId="28A4A722"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4FAC98FE"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Having self-awareness that reflects devotion to God.</w:t>
            </w:r>
          </w:p>
        </w:tc>
        <w:tc>
          <w:tcPr>
            <w:tcW w:w="926" w:type="dxa"/>
            <w:tcBorders>
              <w:top w:val="single" w:sz="4" w:space="0" w:color="auto"/>
              <w:bottom w:val="single" w:sz="4" w:space="0" w:color="auto"/>
            </w:tcBorders>
            <w:shd w:val="clear" w:color="auto" w:fill="auto"/>
          </w:tcPr>
          <w:p w14:paraId="2B7639B7"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0,33</w:t>
            </w:r>
          </w:p>
        </w:tc>
      </w:tr>
      <w:tr w:rsidR="007D3C62" w:rsidRPr="007D3C62" w14:paraId="7D512961" w14:textId="77777777" w:rsidTr="006422BF">
        <w:tc>
          <w:tcPr>
            <w:tcW w:w="1319" w:type="dxa"/>
            <w:vMerge/>
            <w:shd w:val="clear" w:color="auto" w:fill="auto"/>
          </w:tcPr>
          <w:p w14:paraId="620C0A33"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02F03E0B"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Provide services to students who reflect noble character.</w:t>
            </w:r>
          </w:p>
        </w:tc>
        <w:tc>
          <w:tcPr>
            <w:tcW w:w="926" w:type="dxa"/>
            <w:tcBorders>
              <w:top w:val="single" w:sz="4" w:space="0" w:color="auto"/>
              <w:bottom w:val="single" w:sz="4" w:space="0" w:color="auto"/>
            </w:tcBorders>
            <w:shd w:val="clear" w:color="auto" w:fill="auto"/>
          </w:tcPr>
          <w:p w14:paraId="5588D49B"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0,41</w:t>
            </w:r>
          </w:p>
        </w:tc>
      </w:tr>
      <w:tr w:rsidR="007D3C62" w:rsidRPr="007D3C62" w14:paraId="0F4C66BC" w14:textId="77777777" w:rsidTr="006422BF">
        <w:tc>
          <w:tcPr>
            <w:tcW w:w="1319" w:type="dxa"/>
            <w:vMerge/>
            <w:shd w:val="clear" w:color="auto" w:fill="auto"/>
          </w:tcPr>
          <w:p w14:paraId="2DAD74BC"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72642BEE"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Appreciate students in interacting both inside and outside the classroom.</w:t>
            </w:r>
          </w:p>
        </w:tc>
        <w:tc>
          <w:tcPr>
            <w:tcW w:w="926" w:type="dxa"/>
            <w:tcBorders>
              <w:top w:val="single" w:sz="4" w:space="0" w:color="auto"/>
              <w:bottom w:val="single" w:sz="4" w:space="0" w:color="auto"/>
            </w:tcBorders>
            <w:shd w:val="clear" w:color="auto" w:fill="auto"/>
          </w:tcPr>
          <w:p w14:paraId="07F64F49"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-0,43</w:t>
            </w:r>
          </w:p>
        </w:tc>
      </w:tr>
      <w:tr w:rsidR="007D3C62" w:rsidRPr="007D3C62" w14:paraId="0BF8A4E0" w14:textId="77777777" w:rsidTr="006422BF">
        <w:tc>
          <w:tcPr>
            <w:tcW w:w="1319" w:type="dxa"/>
            <w:vMerge/>
            <w:shd w:val="clear" w:color="auto" w:fill="auto"/>
          </w:tcPr>
          <w:p w14:paraId="010DEB27"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0E02FB22"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Respect others according to the norms prevailing in society.</w:t>
            </w:r>
          </w:p>
        </w:tc>
        <w:tc>
          <w:tcPr>
            <w:tcW w:w="926" w:type="dxa"/>
            <w:tcBorders>
              <w:top w:val="single" w:sz="4" w:space="0" w:color="auto"/>
              <w:bottom w:val="single" w:sz="4" w:space="0" w:color="auto"/>
            </w:tcBorders>
            <w:shd w:val="clear" w:color="auto" w:fill="auto"/>
          </w:tcPr>
          <w:p w14:paraId="2368F12A"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-0,28</w:t>
            </w:r>
          </w:p>
        </w:tc>
      </w:tr>
      <w:tr w:rsidR="007D3C62" w:rsidRPr="007D3C62" w14:paraId="0BC2B76B" w14:textId="77777777" w:rsidTr="006422BF">
        <w:tc>
          <w:tcPr>
            <w:tcW w:w="1319" w:type="dxa"/>
            <w:vMerge/>
            <w:tcBorders>
              <w:bottom w:val="single" w:sz="4" w:space="0" w:color="auto"/>
            </w:tcBorders>
            <w:shd w:val="clear" w:color="auto" w:fill="auto"/>
          </w:tcPr>
          <w:p w14:paraId="5CD9E194"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2DAFD5CD"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Actively participating in community activities.</w:t>
            </w:r>
          </w:p>
        </w:tc>
        <w:tc>
          <w:tcPr>
            <w:tcW w:w="926" w:type="dxa"/>
            <w:tcBorders>
              <w:top w:val="single" w:sz="4" w:space="0" w:color="auto"/>
              <w:bottom w:val="single" w:sz="4" w:space="0" w:color="auto"/>
            </w:tcBorders>
            <w:shd w:val="clear" w:color="auto" w:fill="auto"/>
          </w:tcPr>
          <w:p w14:paraId="4DA9F256"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0,17</w:t>
            </w:r>
          </w:p>
        </w:tc>
      </w:tr>
      <w:tr w:rsidR="007D3C62" w:rsidRPr="007D3C62" w14:paraId="158F9049" w14:textId="77777777" w:rsidTr="006422BF">
        <w:tc>
          <w:tcPr>
            <w:tcW w:w="1319" w:type="dxa"/>
            <w:vMerge w:val="restart"/>
            <w:tcBorders>
              <w:top w:val="single" w:sz="4" w:space="0" w:color="auto"/>
            </w:tcBorders>
            <w:shd w:val="clear" w:color="auto" w:fill="auto"/>
          </w:tcPr>
          <w:p w14:paraId="4803461C" w14:textId="77777777" w:rsidR="007D3C62" w:rsidRPr="007D3C62" w:rsidRDefault="007D3C62" w:rsidP="007D3C62">
            <w:pPr>
              <w:autoSpaceDE w:val="0"/>
              <w:autoSpaceDN w:val="0"/>
              <w:adjustRightInd w:val="0"/>
              <w:ind w:left="-36"/>
              <w:contextualSpacing/>
              <w:rPr>
                <w:color w:val="auto"/>
                <w:sz w:val="18"/>
                <w:szCs w:val="18"/>
                <w:lang w:val="id-ID" w:eastAsia="en-US"/>
              </w:rPr>
            </w:pPr>
            <w:r w:rsidRPr="007D3C62">
              <w:rPr>
                <w:color w:val="auto"/>
                <w:sz w:val="18"/>
                <w:szCs w:val="18"/>
                <w:lang w:val="en-ID" w:eastAsia="en-US"/>
              </w:rPr>
              <w:t>Present themselves as a stable, mature, wise, and authoritative person</w:t>
            </w:r>
          </w:p>
        </w:tc>
        <w:tc>
          <w:tcPr>
            <w:tcW w:w="4918" w:type="dxa"/>
            <w:tcBorders>
              <w:top w:val="single" w:sz="4" w:space="0" w:color="auto"/>
              <w:bottom w:val="single" w:sz="4" w:space="0" w:color="auto"/>
            </w:tcBorders>
            <w:shd w:val="clear" w:color="auto" w:fill="auto"/>
          </w:tcPr>
          <w:p w14:paraId="40A56987"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Having a firm stand.</w:t>
            </w:r>
          </w:p>
        </w:tc>
        <w:tc>
          <w:tcPr>
            <w:tcW w:w="926" w:type="dxa"/>
            <w:tcBorders>
              <w:top w:val="single" w:sz="4" w:space="0" w:color="auto"/>
              <w:bottom w:val="single" w:sz="4" w:space="0" w:color="auto"/>
            </w:tcBorders>
            <w:shd w:val="clear" w:color="auto" w:fill="auto"/>
          </w:tcPr>
          <w:p w14:paraId="24CE3337"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0,22</w:t>
            </w:r>
          </w:p>
        </w:tc>
      </w:tr>
      <w:tr w:rsidR="007D3C62" w:rsidRPr="007D3C62" w14:paraId="70D8408E" w14:textId="77777777" w:rsidTr="006422BF">
        <w:tc>
          <w:tcPr>
            <w:tcW w:w="1319" w:type="dxa"/>
            <w:vMerge/>
            <w:shd w:val="clear" w:color="auto" w:fill="auto"/>
          </w:tcPr>
          <w:p w14:paraId="3F9F090D"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532B0AF8"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Having stable emotions both inside and outside the school environment.</w:t>
            </w:r>
          </w:p>
        </w:tc>
        <w:tc>
          <w:tcPr>
            <w:tcW w:w="926" w:type="dxa"/>
            <w:tcBorders>
              <w:top w:val="single" w:sz="4" w:space="0" w:color="auto"/>
              <w:bottom w:val="single" w:sz="4" w:space="0" w:color="auto"/>
            </w:tcBorders>
            <w:shd w:val="clear" w:color="auto" w:fill="auto"/>
          </w:tcPr>
          <w:p w14:paraId="35509E5E"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0,45</w:t>
            </w:r>
          </w:p>
        </w:tc>
      </w:tr>
      <w:tr w:rsidR="007D3C62" w:rsidRPr="007D3C62" w14:paraId="59FAB1B7" w14:textId="77777777" w:rsidTr="006422BF">
        <w:tc>
          <w:tcPr>
            <w:tcW w:w="1319" w:type="dxa"/>
            <w:vMerge/>
            <w:shd w:val="clear" w:color="auto" w:fill="auto"/>
          </w:tcPr>
          <w:p w14:paraId="33318192"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0D448CCB"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Willing to accept criticism and advice from others.</w:t>
            </w:r>
          </w:p>
        </w:tc>
        <w:tc>
          <w:tcPr>
            <w:tcW w:w="926" w:type="dxa"/>
            <w:tcBorders>
              <w:top w:val="single" w:sz="4" w:space="0" w:color="auto"/>
              <w:bottom w:val="single" w:sz="4" w:space="0" w:color="auto"/>
            </w:tcBorders>
            <w:shd w:val="clear" w:color="auto" w:fill="auto"/>
          </w:tcPr>
          <w:p w14:paraId="19D9F78E"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0,27</w:t>
            </w:r>
          </w:p>
        </w:tc>
      </w:tr>
      <w:tr w:rsidR="007D3C62" w:rsidRPr="007D3C62" w14:paraId="3ED2A1D3" w14:textId="77777777" w:rsidTr="006422BF">
        <w:tc>
          <w:tcPr>
            <w:tcW w:w="1319" w:type="dxa"/>
            <w:vMerge/>
            <w:shd w:val="clear" w:color="auto" w:fill="auto"/>
          </w:tcPr>
          <w:p w14:paraId="01809CFD"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3E1351C7"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Able to solve problems wisely.</w:t>
            </w:r>
          </w:p>
        </w:tc>
        <w:tc>
          <w:tcPr>
            <w:tcW w:w="926" w:type="dxa"/>
            <w:tcBorders>
              <w:top w:val="single" w:sz="4" w:space="0" w:color="auto"/>
              <w:bottom w:val="single" w:sz="4" w:space="0" w:color="auto"/>
            </w:tcBorders>
            <w:shd w:val="clear" w:color="auto" w:fill="auto"/>
          </w:tcPr>
          <w:p w14:paraId="06351E28"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0,26</w:t>
            </w:r>
          </w:p>
        </w:tc>
      </w:tr>
      <w:tr w:rsidR="007D3C62" w:rsidRPr="007D3C62" w14:paraId="3AF96BAB" w14:textId="77777777" w:rsidTr="006422BF">
        <w:tc>
          <w:tcPr>
            <w:tcW w:w="1319" w:type="dxa"/>
            <w:vMerge/>
            <w:shd w:val="clear" w:color="auto" w:fill="auto"/>
          </w:tcPr>
          <w:p w14:paraId="3196E575"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04ED9020"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Present themself as a mature teacher.</w:t>
            </w:r>
          </w:p>
        </w:tc>
        <w:tc>
          <w:tcPr>
            <w:tcW w:w="926" w:type="dxa"/>
            <w:tcBorders>
              <w:top w:val="single" w:sz="4" w:space="0" w:color="auto"/>
              <w:bottom w:val="single" w:sz="4" w:space="0" w:color="auto"/>
            </w:tcBorders>
            <w:shd w:val="clear" w:color="auto" w:fill="auto"/>
          </w:tcPr>
          <w:p w14:paraId="28BECE34"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-0,56</w:t>
            </w:r>
          </w:p>
        </w:tc>
      </w:tr>
      <w:tr w:rsidR="007D3C62" w:rsidRPr="007D3C62" w14:paraId="2EF9A546" w14:textId="77777777" w:rsidTr="006422BF">
        <w:tc>
          <w:tcPr>
            <w:tcW w:w="1319" w:type="dxa"/>
            <w:vMerge/>
            <w:tcBorders>
              <w:bottom w:val="single" w:sz="4" w:space="0" w:color="auto"/>
            </w:tcBorders>
            <w:shd w:val="clear" w:color="auto" w:fill="auto"/>
          </w:tcPr>
          <w:p w14:paraId="0DA4639A"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768DD4AC" w14:textId="77777777" w:rsidR="007D3C62" w:rsidRPr="007D3C62" w:rsidRDefault="007D3C62" w:rsidP="007D3C62">
            <w:pPr>
              <w:numPr>
                <w:ilvl w:val="0"/>
                <w:numId w:val="1"/>
              </w:numPr>
              <w:autoSpaceDE w:val="0"/>
              <w:autoSpaceDN w:val="0"/>
              <w:adjustRightInd w:val="0"/>
              <w:spacing w:before="160"/>
              <w:ind w:left="277" w:hanging="279"/>
              <w:contextualSpacing/>
              <w:jc w:val="both"/>
              <w:rPr>
                <w:color w:val="auto"/>
                <w:sz w:val="18"/>
                <w:szCs w:val="18"/>
                <w:lang w:val="id-ID" w:eastAsia="en-US"/>
              </w:rPr>
            </w:pPr>
            <w:r w:rsidRPr="007D3C62">
              <w:rPr>
                <w:color w:val="auto"/>
                <w:sz w:val="18"/>
                <w:szCs w:val="18"/>
                <w:lang w:val="id-ID" w:eastAsia="en-US"/>
              </w:rPr>
              <w:t>Present themselves as wise and authoritative teacher figures.</w:t>
            </w:r>
          </w:p>
        </w:tc>
        <w:tc>
          <w:tcPr>
            <w:tcW w:w="926" w:type="dxa"/>
            <w:tcBorders>
              <w:top w:val="single" w:sz="4" w:space="0" w:color="auto"/>
              <w:bottom w:val="single" w:sz="4" w:space="0" w:color="auto"/>
            </w:tcBorders>
            <w:shd w:val="clear" w:color="auto" w:fill="auto"/>
          </w:tcPr>
          <w:p w14:paraId="3A24C07F" w14:textId="77777777" w:rsidR="007D3C62" w:rsidRPr="007D3C62" w:rsidRDefault="007D3C62" w:rsidP="007D3C62">
            <w:pPr>
              <w:autoSpaceDE w:val="0"/>
              <w:autoSpaceDN w:val="0"/>
              <w:adjustRightInd w:val="0"/>
              <w:jc w:val="center"/>
              <w:rPr>
                <w:color w:val="auto"/>
                <w:sz w:val="18"/>
                <w:szCs w:val="18"/>
                <w:lang w:val="en-AU" w:eastAsia="en-US"/>
              </w:rPr>
            </w:pPr>
            <w:r w:rsidRPr="007D3C62">
              <w:rPr>
                <w:color w:val="auto"/>
                <w:sz w:val="18"/>
                <w:szCs w:val="18"/>
                <w:lang w:val="en-AU" w:eastAsia="en-US"/>
              </w:rPr>
              <w:t>0,48</w:t>
            </w:r>
          </w:p>
        </w:tc>
      </w:tr>
      <w:tr w:rsidR="007D3C62" w:rsidRPr="007D3C62" w14:paraId="3A322609" w14:textId="77777777" w:rsidTr="006422BF">
        <w:tc>
          <w:tcPr>
            <w:tcW w:w="1319" w:type="dxa"/>
            <w:vMerge w:val="restart"/>
            <w:tcBorders>
              <w:top w:val="single" w:sz="4" w:space="0" w:color="auto"/>
            </w:tcBorders>
            <w:shd w:val="clear" w:color="auto" w:fill="auto"/>
          </w:tcPr>
          <w:p w14:paraId="3A463FCD" w14:textId="77777777" w:rsidR="007D3C62" w:rsidRPr="007D3C62" w:rsidRDefault="007D3C62" w:rsidP="007D3C62">
            <w:pPr>
              <w:autoSpaceDE w:val="0"/>
              <w:autoSpaceDN w:val="0"/>
              <w:adjustRightInd w:val="0"/>
              <w:ind w:left="-36"/>
              <w:contextualSpacing/>
              <w:rPr>
                <w:color w:val="auto"/>
                <w:sz w:val="18"/>
                <w:szCs w:val="18"/>
                <w:lang w:val="id-ID" w:eastAsia="en-US"/>
              </w:rPr>
            </w:pPr>
            <w:r w:rsidRPr="007D3C62">
              <w:rPr>
                <w:color w:val="auto"/>
                <w:sz w:val="18"/>
                <w:szCs w:val="18"/>
                <w:lang w:val="en-ID" w:eastAsia="en-US"/>
              </w:rPr>
              <w:t>Shows work ethic, high responsibility, pride in being a teacher, and self-confidence</w:t>
            </w:r>
          </w:p>
        </w:tc>
        <w:tc>
          <w:tcPr>
            <w:tcW w:w="4918" w:type="dxa"/>
            <w:tcBorders>
              <w:top w:val="single" w:sz="4" w:space="0" w:color="auto"/>
              <w:bottom w:val="single" w:sz="4" w:space="0" w:color="auto"/>
            </w:tcBorders>
            <w:shd w:val="clear" w:color="auto" w:fill="auto"/>
          </w:tcPr>
          <w:p w14:paraId="340A7F5A"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Having enthusiasm in carrying out his duties as a teacher.</w:t>
            </w:r>
          </w:p>
        </w:tc>
        <w:tc>
          <w:tcPr>
            <w:tcW w:w="926" w:type="dxa"/>
            <w:tcBorders>
              <w:top w:val="single" w:sz="4" w:space="0" w:color="auto"/>
              <w:bottom w:val="single" w:sz="4" w:space="0" w:color="auto"/>
            </w:tcBorders>
            <w:shd w:val="clear" w:color="auto" w:fill="auto"/>
          </w:tcPr>
          <w:p w14:paraId="11C47E68"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0,28</w:t>
            </w:r>
          </w:p>
        </w:tc>
      </w:tr>
      <w:tr w:rsidR="007D3C62" w:rsidRPr="007D3C62" w14:paraId="5F9611C1" w14:textId="77777777" w:rsidTr="006422BF">
        <w:tc>
          <w:tcPr>
            <w:tcW w:w="1319" w:type="dxa"/>
            <w:vMerge/>
            <w:shd w:val="clear" w:color="auto" w:fill="auto"/>
          </w:tcPr>
          <w:p w14:paraId="30EA0156"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1C420075"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Demonstrate systematic and documented performance.</w:t>
            </w:r>
          </w:p>
        </w:tc>
        <w:tc>
          <w:tcPr>
            <w:tcW w:w="926" w:type="dxa"/>
            <w:tcBorders>
              <w:top w:val="single" w:sz="4" w:space="0" w:color="auto"/>
              <w:bottom w:val="single" w:sz="4" w:space="0" w:color="auto"/>
            </w:tcBorders>
            <w:shd w:val="clear" w:color="auto" w:fill="auto"/>
          </w:tcPr>
          <w:p w14:paraId="2B185588"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-0,25</w:t>
            </w:r>
          </w:p>
        </w:tc>
      </w:tr>
      <w:tr w:rsidR="007D3C62" w:rsidRPr="007D3C62" w14:paraId="7EA8EF78" w14:textId="77777777" w:rsidTr="006422BF">
        <w:tc>
          <w:tcPr>
            <w:tcW w:w="1319" w:type="dxa"/>
            <w:vMerge/>
            <w:shd w:val="clear" w:color="auto" w:fill="auto"/>
          </w:tcPr>
          <w:p w14:paraId="1B3400AB"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350A54A6"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Familiarize themself to improve the ability to master Information Technology (IT) that supports the task as a teacher.</w:t>
            </w:r>
          </w:p>
        </w:tc>
        <w:tc>
          <w:tcPr>
            <w:tcW w:w="926" w:type="dxa"/>
            <w:tcBorders>
              <w:top w:val="single" w:sz="4" w:space="0" w:color="auto"/>
              <w:bottom w:val="single" w:sz="4" w:space="0" w:color="auto"/>
            </w:tcBorders>
            <w:shd w:val="clear" w:color="auto" w:fill="auto"/>
          </w:tcPr>
          <w:p w14:paraId="685E2471"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0,25</w:t>
            </w:r>
          </w:p>
        </w:tc>
      </w:tr>
      <w:tr w:rsidR="007D3C62" w:rsidRPr="007D3C62" w14:paraId="53610459" w14:textId="77777777" w:rsidTr="006422BF">
        <w:tc>
          <w:tcPr>
            <w:tcW w:w="1319" w:type="dxa"/>
            <w:vMerge/>
            <w:shd w:val="clear" w:color="auto" w:fill="auto"/>
          </w:tcPr>
          <w:p w14:paraId="31F7C86E"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09D0E4C7"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Having creativity to develop teaching media.</w:t>
            </w:r>
          </w:p>
        </w:tc>
        <w:tc>
          <w:tcPr>
            <w:tcW w:w="926" w:type="dxa"/>
            <w:tcBorders>
              <w:top w:val="single" w:sz="4" w:space="0" w:color="auto"/>
              <w:bottom w:val="single" w:sz="4" w:space="0" w:color="auto"/>
            </w:tcBorders>
            <w:shd w:val="clear" w:color="auto" w:fill="auto"/>
          </w:tcPr>
          <w:p w14:paraId="2DE55E57"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0,74</w:t>
            </w:r>
          </w:p>
        </w:tc>
      </w:tr>
      <w:tr w:rsidR="007D3C62" w:rsidRPr="007D3C62" w14:paraId="11E0ADAE" w14:textId="77777777" w:rsidTr="006422BF">
        <w:tc>
          <w:tcPr>
            <w:tcW w:w="1319" w:type="dxa"/>
            <w:vMerge/>
            <w:tcBorders>
              <w:bottom w:val="single" w:sz="4" w:space="0" w:color="auto"/>
            </w:tcBorders>
            <w:shd w:val="clear" w:color="auto" w:fill="auto"/>
          </w:tcPr>
          <w:p w14:paraId="4BF0B4E1"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6C5800D0"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Mastering the competencies needed to complete assignments as a teacher.</w:t>
            </w:r>
          </w:p>
        </w:tc>
        <w:tc>
          <w:tcPr>
            <w:tcW w:w="926" w:type="dxa"/>
            <w:tcBorders>
              <w:top w:val="single" w:sz="4" w:space="0" w:color="auto"/>
              <w:bottom w:val="single" w:sz="4" w:space="0" w:color="auto"/>
            </w:tcBorders>
            <w:shd w:val="clear" w:color="auto" w:fill="auto"/>
          </w:tcPr>
          <w:p w14:paraId="07242D0B"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0,27</w:t>
            </w:r>
          </w:p>
        </w:tc>
      </w:tr>
      <w:tr w:rsidR="007D3C62" w:rsidRPr="007D3C62" w14:paraId="5C01BABD" w14:textId="77777777" w:rsidTr="006422BF">
        <w:tc>
          <w:tcPr>
            <w:tcW w:w="1319" w:type="dxa"/>
            <w:vMerge w:val="restart"/>
            <w:shd w:val="clear" w:color="auto" w:fill="auto"/>
          </w:tcPr>
          <w:p w14:paraId="7373A5E7" w14:textId="77777777" w:rsidR="007D3C62" w:rsidRPr="007D3C62" w:rsidRDefault="007D3C62" w:rsidP="007D3C62">
            <w:pPr>
              <w:autoSpaceDE w:val="0"/>
              <w:autoSpaceDN w:val="0"/>
              <w:adjustRightInd w:val="0"/>
              <w:jc w:val="both"/>
              <w:rPr>
                <w:color w:val="auto"/>
                <w:sz w:val="18"/>
                <w:szCs w:val="18"/>
                <w:lang w:val="en-AU" w:eastAsia="en-US"/>
              </w:rPr>
            </w:pPr>
            <w:r w:rsidRPr="007D3C62">
              <w:rPr>
                <w:color w:val="auto"/>
                <w:sz w:val="18"/>
                <w:szCs w:val="18"/>
                <w:lang w:val="en-ID" w:eastAsia="en-US"/>
              </w:rPr>
              <w:t>Upholds the code of ethics of the teaching profession</w:t>
            </w:r>
          </w:p>
        </w:tc>
        <w:tc>
          <w:tcPr>
            <w:tcW w:w="4918" w:type="dxa"/>
            <w:tcBorders>
              <w:top w:val="single" w:sz="4" w:space="0" w:color="auto"/>
              <w:bottom w:val="single" w:sz="4" w:space="0" w:color="auto"/>
            </w:tcBorders>
            <w:shd w:val="clear" w:color="auto" w:fill="auto"/>
          </w:tcPr>
          <w:p w14:paraId="36B089E0"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Understand the values contained in the code of ethics of the teaching profession</w:t>
            </w:r>
          </w:p>
        </w:tc>
        <w:tc>
          <w:tcPr>
            <w:tcW w:w="926" w:type="dxa"/>
            <w:tcBorders>
              <w:top w:val="single" w:sz="4" w:space="0" w:color="auto"/>
              <w:bottom w:val="single" w:sz="4" w:space="0" w:color="auto"/>
            </w:tcBorders>
            <w:shd w:val="clear" w:color="auto" w:fill="auto"/>
          </w:tcPr>
          <w:p w14:paraId="2DA63310"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0,47</w:t>
            </w:r>
          </w:p>
        </w:tc>
      </w:tr>
      <w:tr w:rsidR="007D3C62" w:rsidRPr="007D3C62" w14:paraId="272EEA5F" w14:textId="77777777" w:rsidTr="006422BF">
        <w:tc>
          <w:tcPr>
            <w:tcW w:w="1319" w:type="dxa"/>
            <w:vMerge/>
            <w:shd w:val="clear" w:color="auto" w:fill="auto"/>
          </w:tcPr>
          <w:p w14:paraId="4965BAE7"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5EC00C61"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Implementing the values of the teacher profession code of ethics in utilizing technology</w:t>
            </w:r>
          </w:p>
        </w:tc>
        <w:tc>
          <w:tcPr>
            <w:tcW w:w="926" w:type="dxa"/>
            <w:tcBorders>
              <w:top w:val="single" w:sz="4" w:space="0" w:color="auto"/>
              <w:bottom w:val="single" w:sz="4" w:space="0" w:color="auto"/>
            </w:tcBorders>
            <w:shd w:val="clear" w:color="auto" w:fill="auto"/>
          </w:tcPr>
          <w:p w14:paraId="08A7C4A0"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0,51</w:t>
            </w:r>
          </w:p>
        </w:tc>
      </w:tr>
      <w:tr w:rsidR="007D3C62" w:rsidRPr="007D3C62" w14:paraId="7221E1AB" w14:textId="77777777" w:rsidTr="006422BF">
        <w:tc>
          <w:tcPr>
            <w:tcW w:w="1319" w:type="dxa"/>
            <w:vMerge/>
            <w:shd w:val="clear" w:color="auto" w:fill="auto"/>
          </w:tcPr>
          <w:p w14:paraId="4DE1F37C"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7046C5FE"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Implement the values of the teacher professional code of ethics in social life.</w:t>
            </w:r>
          </w:p>
        </w:tc>
        <w:tc>
          <w:tcPr>
            <w:tcW w:w="926" w:type="dxa"/>
            <w:tcBorders>
              <w:top w:val="single" w:sz="4" w:space="0" w:color="auto"/>
              <w:bottom w:val="single" w:sz="4" w:space="0" w:color="auto"/>
            </w:tcBorders>
            <w:shd w:val="clear" w:color="auto" w:fill="auto"/>
          </w:tcPr>
          <w:p w14:paraId="66269B54"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0,18</w:t>
            </w:r>
          </w:p>
        </w:tc>
      </w:tr>
      <w:tr w:rsidR="007D3C62" w:rsidRPr="007D3C62" w14:paraId="5E8073FD" w14:textId="77777777" w:rsidTr="006422BF">
        <w:tc>
          <w:tcPr>
            <w:tcW w:w="1319" w:type="dxa"/>
            <w:vMerge/>
            <w:shd w:val="clear" w:color="auto" w:fill="auto"/>
          </w:tcPr>
          <w:p w14:paraId="18DB5C80"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32786C3F"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Maintaining good relations with parents of students to foster participation and a sense of responsibility in education.</w:t>
            </w:r>
          </w:p>
        </w:tc>
        <w:tc>
          <w:tcPr>
            <w:tcW w:w="926" w:type="dxa"/>
            <w:tcBorders>
              <w:top w:val="single" w:sz="4" w:space="0" w:color="auto"/>
              <w:bottom w:val="single" w:sz="4" w:space="0" w:color="auto"/>
            </w:tcBorders>
            <w:shd w:val="clear" w:color="auto" w:fill="auto"/>
          </w:tcPr>
          <w:p w14:paraId="50DD8D3E"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0,32</w:t>
            </w:r>
          </w:p>
        </w:tc>
      </w:tr>
      <w:tr w:rsidR="007D3C62" w:rsidRPr="007D3C62" w14:paraId="508F0F86" w14:textId="77777777" w:rsidTr="006422BF">
        <w:tc>
          <w:tcPr>
            <w:tcW w:w="1319" w:type="dxa"/>
            <w:vMerge/>
            <w:tcBorders>
              <w:bottom w:val="single" w:sz="4" w:space="0" w:color="auto"/>
            </w:tcBorders>
            <w:shd w:val="clear" w:color="auto" w:fill="auto"/>
          </w:tcPr>
          <w:p w14:paraId="00EEA368" w14:textId="77777777" w:rsidR="007D3C62" w:rsidRPr="007D3C62" w:rsidRDefault="007D3C62" w:rsidP="007D3C62">
            <w:pPr>
              <w:autoSpaceDE w:val="0"/>
              <w:autoSpaceDN w:val="0"/>
              <w:adjustRightInd w:val="0"/>
              <w:ind w:left="324"/>
              <w:jc w:val="both"/>
              <w:rPr>
                <w:color w:val="auto"/>
                <w:sz w:val="18"/>
                <w:szCs w:val="18"/>
                <w:lang w:val="en-AU" w:eastAsia="en-US"/>
              </w:rPr>
            </w:pPr>
          </w:p>
        </w:tc>
        <w:tc>
          <w:tcPr>
            <w:tcW w:w="4918" w:type="dxa"/>
            <w:tcBorders>
              <w:top w:val="single" w:sz="4" w:space="0" w:color="auto"/>
              <w:bottom w:val="single" w:sz="4" w:space="0" w:color="auto"/>
            </w:tcBorders>
            <w:shd w:val="clear" w:color="auto" w:fill="auto"/>
          </w:tcPr>
          <w:p w14:paraId="5DFF6EDF" w14:textId="77777777" w:rsidR="007D3C62" w:rsidRPr="007D3C62" w:rsidRDefault="007D3C62" w:rsidP="007D3C62">
            <w:pPr>
              <w:numPr>
                <w:ilvl w:val="0"/>
                <w:numId w:val="1"/>
              </w:numPr>
              <w:spacing w:before="160"/>
              <w:ind w:left="277" w:hanging="279"/>
              <w:contextualSpacing/>
              <w:jc w:val="both"/>
              <w:rPr>
                <w:color w:val="auto"/>
                <w:sz w:val="18"/>
                <w:szCs w:val="18"/>
                <w:lang w:val="id-ID" w:eastAsia="en-US"/>
              </w:rPr>
            </w:pPr>
            <w:r w:rsidRPr="007D3C62">
              <w:rPr>
                <w:color w:val="auto"/>
                <w:sz w:val="18"/>
                <w:szCs w:val="18"/>
                <w:lang w:val="id-ID" w:eastAsia="en-US"/>
              </w:rPr>
              <w:t>Creating a school atmosphere that is conducive to supporting effective learning.</w:t>
            </w:r>
          </w:p>
        </w:tc>
        <w:tc>
          <w:tcPr>
            <w:tcW w:w="926" w:type="dxa"/>
            <w:tcBorders>
              <w:top w:val="single" w:sz="4" w:space="0" w:color="auto"/>
              <w:bottom w:val="single" w:sz="4" w:space="0" w:color="auto"/>
            </w:tcBorders>
            <w:shd w:val="clear" w:color="auto" w:fill="auto"/>
          </w:tcPr>
          <w:p w14:paraId="2B4D53A8" w14:textId="77777777" w:rsidR="007D3C62" w:rsidRPr="007D3C62" w:rsidRDefault="007D3C62" w:rsidP="007D3C62">
            <w:pPr>
              <w:ind w:hanging="2"/>
              <w:jc w:val="center"/>
              <w:rPr>
                <w:color w:val="auto"/>
                <w:sz w:val="18"/>
                <w:szCs w:val="18"/>
                <w:lang w:val="en-AU" w:eastAsia="en-US"/>
              </w:rPr>
            </w:pPr>
            <w:r w:rsidRPr="007D3C62">
              <w:rPr>
                <w:color w:val="auto"/>
                <w:sz w:val="18"/>
                <w:szCs w:val="18"/>
                <w:lang w:val="en-AU" w:eastAsia="en-US"/>
              </w:rPr>
              <w:t>0,50</w:t>
            </w:r>
          </w:p>
        </w:tc>
      </w:tr>
    </w:tbl>
    <w:p w14:paraId="1B536A10" w14:textId="77777777" w:rsidR="007D3C62" w:rsidRPr="007D3C62" w:rsidRDefault="007D3C62" w:rsidP="007D3C62">
      <w:pPr>
        <w:ind w:firstLine="360"/>
        <w:jc w:val="both"/>
        <w:rPr>
          <w:color w:val="auto"/>
          <w:lang w:val="en-ID" w:eastAsia="en-US"/>
        </w:rPr>
      </w:pPr>
      <w:r w:rsidRPr="007D3C62">
        <w:rPr>
          <w:color w:val="auto"/>
          <w:lang w:val="en-ID" w:eastAsia="en-US"/>
        </w:rPr>
        <w:t xml:space="preserve">Table 2 shows that the developed instrument consisted of 5 factors and had 29 items. This instrument has a high content and construct validity, but its reliability is of a </w:t>
      </w:r>
      <w:r w:rsidRPr="007D3C62">
        <w:rPr>
          <w:color w:val="auto"/>
          <w:lang w:val="en-AU" w:eastAsia="en-US"/>
        </w:rPr>
        <w:t>categorized as moderate</w:t>
      </w:r>
      <w:r w:rsidRPr="007D3C62">
        <w:rPr>
          <w:color w:val="auto"/>
          <w:lang w:val="en-ID" w:eastAsia="en-US"/>
        </w:rPr>
        <w:t xml:space="preserve">, with a </w:t>
      </w:r>
      <w:r w:rsidRPr="007D3C62">
        <w:rPr>
          <w:bCs/>
          <w:color w:val="auto"/>
          <w:lang w:val="en-ID" w:eastAsia="en-US"/>
        </w:rPr>
        <w:t>reliability</w:t>
      </w:r>
      <w:r w:rsidRPr="007D3C62">
        <w:rPr>
          <w:color w:val="auto"/>
          <w:lang w:val="en-ID" w:eastAsia="en-US"/>
        </w:rPr>
        <w:t xml:space="preserve"> value of 0.293. This result is certainly interesting to discuss.</w:t>
      </w:r>
    </w:p>
    <w:p w14:paraId="6A18AE3E" w14:textId="49700D02" w:rsidR="007D3C62" w:rsidRPr="007D3C62" w:rsidRDefault="007D3C62" w:rsidP="007D3C62">
      <w:pPr>
        <w:ind w:firstLine="360"/>
        <w:jc w:val="both"/>
        <w:rPr>
          <w:color w:val="auto"/>
          <w:lang w:val="en-ID" w:eastAsia="en-US"/>
        </w:rPr>
      </w:pPr>
      <w:r w:rsidRPr="007D3C62">
        <w:rPr>
          <w:color w:val="auto"/>
          <w:lang w:val="en-ID" w:eastAsia="en-US"/>
        </w:rPr>
        <w:t xml:space="preserve">The </w:t>
      </w:r>
      <w:r w:rsidRPr="007D3C62">
        <w:rPr>
          <w:bCs/>
          <w:color w:val="auto"/>
          <w:lang w:val="en-ID" w:eastAsia="en-US"/>
        </w:rPr>
        <w:t>instrument</w:t>
      </w:r>
      <w:r w:rsidRPr="007D3C62">
        <w:rPr>
          <w:color w:val="auto"/>
          <w:lang w:val="en-ID" w:eastAsia="en-US"/>
        </w:rPr>
        <w:t xml:space="preserve"> is said to be good if it has high validity and reliability. The question posed is what if the instrument's validity is high but its reliability is low? This certainly does not happen, because based on Salkind </w:t>
      </w:r>
      <w:r w:rsidR="00C80D0E">
        <w:rPr>
          <w:color w:val="auto"/>
          <w:lang w:val="en-ID" w:eastAsia="en-US"/>
        </w:rPr>
        <w:t>[2</w:t>
      </w:r>
      <w:r w:rsidR="00DA655B">
        <w:rPr>
          <w:color w:val="auto"/>
          <w:lang w:val="en-ID" w:eastAsia="en-US"/>
        </w:rPr>
        <w:t>2</w:t>
      </w:r>
      <w:r w:rsidR="00C80D0E">
        <w:rPr>
          <w:color w:val="auto"/>
          <w:lang w:val="en-ID" w:eastAsia="en-US"/>
        </w:rPr>
        <w:t>]</w:t>
      </w:r>
      <w:r w:rsidRPr="007D3C62">
        <w:rPr>
          <w:color w:val="auto"/>
          <w:lang w:val="en-ID" w:eastAsia="en-US"/>
        </w:rPr>
        <w:t xml:space="preserve">, low reliability instruments will damage their validity. According to classical test theory </w:t>
      </w:r>
      <w:r w:rsidR="003225DE">
        <w:rPr>
          <w:color w:val="auto"/>
          <w:lang w:val="en-ID" w:eastAsia="en-US"/>
        </w:rPr>
        <w:t>[2</w:t>
      </w:r>
      <w:r w:rsidR="00DA655B">
        <w:rPr>
          <w:color w:val="auto"/>
          <w:lang w:val="en-ID" w:eastAsia="en-US"/>
        </w:rPr>
        <w:t>3</w:t>
      </w:r>
      <w:r w:rsidR="003225DE">
        <w:rPr>
          <w:color w:val="auto"/>
          <w:lang w:val="en-ID" w:eastAsia="en-US"/>
        </w:rPr>
        <w:t>,2</w:t>
      </w:r>
      <w:r w:rsidR="00DA655B">
        <w:rPr>
          <w:color w:val="auto"/>
          <w:lang w:val="en-ID" w:eastAsia="en-US"/>
        </w:rPr>
        <w:t>4</w:t>
      </w:r>
      <w:r w:rsidR="003225DE">
        <w:rPr>
          <w:color w:val="auto"/>
          <w:lang w:val="en-ID" w:eastAsia="en-US"/>
        </w:rPr>
        <w:t>]</w:t>
      </w:r>
      <w:r w:rsidRPr="007D3C62">
        <w:rPr>
          <w:color w:val="auto"/>
          <w:lang w:val="en-ID" w:eastAsia="en-US"/>
        </w:rPr>
        <w:t xml:space="preserve"> the magnitude of the Standard error of measurement (SEM) can be calculated by the formula (1)</w:t>
      </w:r>
    </w:p>
    <w:p w14:paraId="4FE176D6" w14:textId="2B0DC3EC" w:rsidR="007D3C62" w:rsidRPr="00C834CA" w:rsidRDefault="00C834CA" w:rsidP="00C834CA">
      <w:pPr>
        <w:spacing w:before="240" w:after="240" w:line="260" w:lineRule="atLeast"/>
        <w:ind w:firstLine="2268"/>
        <w:jc w:val="center"/>
        <w:rPr>
          <w:color w:val="auto"/>
          <w:lang w:val="en-AU" w:eastAsia="en-US"/>
        </w:rPr>
      </w:pPr>
      <m:oMath>
        <m:r>
          <m:rPr>
            <m:sty m:val="p"/>
          </m:rPr>
          <w:rPr>
            <w:rFonts w:ascii="Cambria Math" w:hAnsi="Cambria Math"/>
            <w:color w:val="auto"/>
            <w:lang w:val="en-AU" w:eastAsia="en-US"/>
          </w:rPr>
          <m:t>SEM</m:t>
        </m:r>
        <m:r>
          <w:rPr>
            <w:rFonts w:ascii="Cambria Math" w:hAnsi="Cambria Math"/>
            <w:color w:val="auto"/>
            <w:lang w:val="en-AU" w:eastAsia="en-US"/>
          </w:rPr>
          <m:t>=</m:t>
        </m:r>
        <m:sSub>
          <m:sSubPr>
            <m:ctrlPr>
              <w:rPr>
                <w:rFonts w:ascii="Cambria Math" w:hAnsi="Cambria Math"/>
                <w:i/>
                <w:color w:val="auto"/>
                <w:lang w:val="en-AU" w:eastAsia="en-US"/>
              </w:rPr>
            </m:ctrlPr>
          </m:sSubPr>
          <m:e>
            <m:r>
              <w:rPr>
                <w:rFonts w:ascii="Cambria Math" w:hAnsi="Cambria Math"/>
                <w:color w:val="auto"/>
                <w:lang w:val="en-AU" w:eastAsia="en-US"/>
              </w:rPr>
              <m:t>S</m:t>
            </m:r>
          </m:e>
          <m:sub>
            <m:r>
              <w:rPr>
                <w:rFonts w:ascii="Cambria Math" w:hAnsi="Cambria Math"/>
                <w:color w:val="auto"/>
                <w:lang w:val="en-AU" w:eastAsia="en-US"/>
              </w:rPr>
              <m:t>x</m:t>
            </m:r>
          </m:sub>
        </m:sSub>
        <m:rad>
          <m:radPr>
            <m:degHide m:val="1"/>
            <m:ctrlPr>
              <w:rPr>
                <w:rFonts w:ascii="Cambria Math" w:hAnsi="Cambria Math"/>
                <w:i/>
                <w:color w:val="auto"/>
                <w:lang w:val="en-AU" w:eastAsia="en-US"/>
              </w:rPr>
            </m:ctrlPr>
          </m:radPr>
          <m:deg/>
          <m:e>
            <m:d>
              <m:dPr>
                <m:ctrlPr>
                  <w:rPr>
                    <w:rFonts w:ascii="Cambria Math" w:hAnsi="Cambria Math"/>
                    <w:i/>
                    <w:color w:val="auto"/>
                    <w:lang w:val="en-AU" w:eastAsia="en-US"/>
                  </w:rPr>
                </m:ctrlPr>
              </m:dPr>
              <m:e>
                <m:r>
                  <w:rPr>
                    <w:rFonts w:ascii="Cambria Math" w:hAnsi="Cambria Math"/>
                    <w:color w:val="auto"/>
                    <w:lang w:val="en-AU" w:eastAsia="en-US"/>
                  </w:rPr>
                  <m:t>1-</m:t>
                </m:r>
                <m:sSub>
                  <m:sSubPr>
                    <m:ctrlPr>
                      <w:rPr>
                        <w:rFonts w:ascii="Cambria Math" w:hAnsi="Cambria Math"/>
                        <w:i/>
                        <w:color w:val="auto"/>
                        <w:lang w:val="en-AU" w:eastAsia="en-US"/>
                      </w:rPr>
                    </m:ctrlPr>
                  </m:sSubPr>
                  <m:e>
                    <m:r>
                      <w:rPr>
                        <w:rFonts w:ascii="Cambria Math" w:hAnsi="Cambria Math"/>
                        <w:color w:val="auto"/>
                        <w:lang w:val="en-AU" w:eastAsia="en-US"/>
                      </w:rPr>
                      <m:t>r</m:t>
                    </m:r>
                  </m:e>
                  <m:sub>
                    <m:r>
                      <w:rPr>
                        <w:rFonts w:ascii="Cambria Math" w:hAnsi="Cambria Math"/>
                        <w:color w:val="auto"/>
                        <w:lang w:val="en-AU" w:eastAsia="en-US"/>
                      </w:rPr>
                      <m:t>xx'</m:t>
                    </m:r>
                  </m:sub>
                </m:sSub>
              </m:e>
            </m:d>
          </m:e>
        </m:rad>
      </m:oMath>
      <w:r>
        <w:rPr>
          <w:color w:val="auto"/>
          <w:lang w:val="en-AU" w:eastAsia="en-US"/>
        </w:rPr>
        <w:tab/>
      </w:r>
      <w:r>
        <w:t xml:space="preserve"> </w:t>
      </w:r>
      <w:r>
        <w:tab/>
      </w:r>
      <w:r>
        <w:tab/>
      </w:r>
      <w:r>
        <w:tab/>
      </w:r>
      <w:r>
        <w:tab/>
        <w:t>(1)</w:t>
      </w:r>
    </w:p>
    <w:p w14:paraId="1798C251" w14:textId="12923244" w:rsidR="007D3C62" w:rsidRPr="007D3C62" w:rsidRDefault="007D3C62" w:rsidP="007D3C62">
      <w:pPr>
        <w:ind w:firstLine="360"/>
        <w:jc w:val="both"/>
        <w:rPr>
          <w:color w:val="auto"/>
          <w:lang w:val="en-ID" w:eastAsia="en-US"/>
        </w:rPr>
      </w:pPr>
      <w:r w:rsidRPr="007D3C62">
        <w:rPr>
          <w:color w:val="auto"/>
          <w:lang w:val="en-ID" w:eastAsia="en-US"/>
        </w:rPr>
        <w:t xml:space="preserve">In this case SEM is the standard error of measurement, </w:t>
      </w:r>
      <w:proofErr w:type="spellStart"/>
      <w:r w:rsidRPr="007D3C62">
        <w:rPr>
          <w:color w:val="auto"/>
          <w:lang w:val="en-ID" w:eastAsia="en-US"/>
        </w:rPr>
        <w:t>S</w:t>
      </w:r>
      <w:r w:rsidRPr="007D3C62">
        <w:rPr>
          <w:color w:val="auto"/>
          <w:vertAlign w:val="subscript"/>
          <w:lang w:val="en-ID" w:eastAsia="en-US"/>
        </w:rPr>
        <w:t>x</w:t>
      </w:r>
      <w:proofErr w:type="spellEnd"/>
      <w:r w:rsidRPr="007D3C62">
        <w:rPr>
          <w:color w:val="auto"/>
          <w:lang w:val="en-ID" w:eastAsia="en-US"/>
        </w:rPr>
        <w:t xml:space="preserve"> is the standard deviation of the test score, and </w:t>
      </w:r>
      <w:proofErr w:type="spellStart"/>
      <w:r w:rsidRPr="007D3C62">
        <w:rPr>
          <w:color w:val="auto"/>
          <w:lang w:val="en-ID" w:eastAsia="en-US"/>
        </w:rPr>
        <w:t>r</w:t>
      </w:r>
      <w:r w:rsidRPr="007D3C62">
        <w:rPr>
          <w:color w:val="auto"/>
          <w:vertAlign w:val="subscript"/>
          <w:lang w:val="en-ID" w:eastAsia="en-US"/>
        </w:rPr>
        <w:t>xx</w:t>
      </w:r>
      <w:proofErr w:type="spellEnd"/>
      <w:r w:rsidRPr="007D3C62">
        <w:rPr>
          <w:color w:val="auto"/>
          <w:lang w:val="en-ID" w:eastAsia="en-US"/>
        </w:rPr>
        <w:t xml:space="preserve">, is the test reliability coefficient </w:t>
      </w:r>
      <w:r w:rsidR="00C80D0E">
        <w:rPr>
          <w:color w:val="auto"/>
          <w:lang w:val="en-ID" w:eastAsia="en-US"/>
        </w:rPr>
        <w:t>[2</w:t>
      </w:r>
      <w:r w:rsidR="00DA655B">
        <w:rPr>
          <w:color w:val="auto"/>
          <w:lang w:val="en-ID" w:eastAsia="en-US"/>
        </w:rPr>
        <w:t>5</w:t>
      </w:r>
      <w:r w:rsidR="00C80D0E">
        <w:rPr>
          <w:color w:val="auto"/>
          <w:lang w:val="en-ID" w:eastAsia="en-US"/>
        </w:rPr>
        <w:t>,2</w:t>
      </w:r>
      <w:r w:rsidR="00DA655B">
        <w:rPr>
          <w:color w:val="auto"/>
          <w:lang w:val="en-ID" w:eastAsia="en-US"/>
        </w:rPr>
        <w:t>6</w:t>
      </w:r>
      <w:r w:rsidR="00C80D0E">
        <w:rPr>
          <w:color w:val="auto"/>
          <w:lang w:val="en-ID" w:eastAsia="en-US"/>
        </w:rPr>
        <w:t>]</w:t>
      </w:r>
      <w:r w:rsidRPr="007D3C62">
        <w:rPr>
          <w:color w:val="auto"/>
          <w:lang w:val="en-ID" w:eastAsia="en-US"/>
        </w:rPr>
        <w:t xml:space="preserve">.  Based on the formula (1) can be seen that the lower the reliability, the higher the SEM price which means the smaller the accuracy or </w:t>
      </w:r>
      <w:r w:rsidRPr="007D3C62">
        <w:rPr>
          <w:color w:val="auto"/>
          <w:lang w:val="en-ID" w:eastAsia="en-US"/>
        </w:rPr>
        <w:lastRenderedPageBreak/>
        <w:t xml:space="preserve">the validity of the instrument. This is in line with Wilson &amp; Reynold </w:t>
      </w:r>
      <w:r w:rsidR="00C80D0E">
        <w:rPr>
          <w:color w:val="auto"/>
          <w:lang w:val="en-ID" w:eastAsia="en-US"/>
        </w:rPr>
        <w:t>[2</w:t>
      </w:r>
      <w:r w:rsidR="00DA655B">
        <w:rPr>
          <w:color w:val="auto"/>
          <w:lang w:val="en-ID" w:eastAsia="en-US"/>
        </w:rPr>
        <w:t>7</w:t>
      </w:r>
      <w:r w:rsidR="00C80D0E">
        <w:rPr>
          <w:color w:val="auto"/>
          <w:lang w:val="en-ID" w:eastAsia="en-US"/>
        </w:rPr>
        <w:t>]</w:t>
      </w:r>
      <w:r w:rsidRPr="007D3C62">
        <w:rPr>
          <w:color w:val="auto"/>
          <w:lang w:val="en-ID" w:eastAsia="en-US"/>
        </w:rPr>
        <w:t xml:space="preserve"> which explains that without reliability there will be no validity. </w:t>
      </w:r>
    </w:p>
    <w:p w14:paraId="5A635758" w14:textId="619B71E7" w:rsidR="007D3C62" w:rsidRPr="007D3C62" w:rsidRDefault="007D3C62" w:rsidP="007D3C62">
      <w:pPr>
        <w:ind w:firstLine="360"/>
        <w:jc w:val="both"/>
        <w:rPr>
          <w:color w:val="auto"/>
          <w:lang w:val="en-AU" w:eastAsia="en-US"/>
        </w:rPr>
      </w:pPr>
      <w:r w:rsidRPr="007D3C62">
        <w:rPr>
          <w:color w:val="auto"/>
          <w:lang w:val="en-ID" w:eastAsia="en-US"/>
        </w:rPr>
        <w:t xml:space="preserve">The above statement is a warning that low reliability will harm the instrument. Therefore it must be sought so that the reliability of the developed instrument is high. Referring to Tapia &amp; Marsh </w:t>
      </w:r>
      <w:r w:rsidR="00C80D0E">
        <w:rPr>
          <w:color w:val="auto"/>
          <w:lang w:val="en-ID" w:eastAsia="en-US"/>
        </w:rPr>
        <w:t>[2</w:t>
      </w:r>
      <w:r w:rsidR="004207BC">
        <w:rPr>
          <w:color w:val="auto"/>
          <w:lang w:val="en-ID" w:eastAsia="en-US"/>
        </w:rPr>
        <w:t>8</w:t>
      </w:r>
      <w:r w:rsidR="00C80D0E">
        <w:rPr>
          <w:color w:val="auto"/>
          <w:lang w:val="en-ID" w:eastAsia="en-US"/>
        </w:rPr>
        <w:t>]</w:t>
      </w:r>
      <w:r w:rsidRPr="007D3C62">
        <w:rPr>
          <w:color w:val="auto"/>
          <w:lang w:val="en-ID" w:eastAsia="en-US"/>
        </w:rPr>
        <w:t xml:space="preserve">, there are ways to improve the quality of reliability by adding items to the origin of the item added with an internal consistency (total-item correlation) greater than 0.5. Instrument reliability can also be improved by reducing the items in the instrument, as long as the items have low consistency. </w:t>
      </w:r>
      <w:r w:rsidRPr="007D3C62">
        <w:rPr>
          <w:color w:val="auto"/>
          <w:lang w:val="en-AU" w:eastAsia="en-US"/>
        </w:rPr>
        <w:t xml:space="preserve">This is based on the classical test theory which says the degree of test reliability (ρ) can be defined as the ratio between pure score variance (τ) and visible score variance (x) written in the form of the formula ρ2XT = σ2τ / σ2x .... (2) </w:t>
      </w:r>
      <w:r w:rsidR="00C80D0E">
        <w:rPr>
          <w:color w:val="auto"/>
          <w:lang w:val="en-AU" w:eastAsia="en-US"/>
        </w:rPr>
        <w:t>[2</w:t>
      </w:r>
      <w:r w:rsidR="004207BC">
        <w:rPr>
          <w:color w:val="auto"/>
          <w:lang w:val="en-AU" w:eastAsia="en-US"/>
        </w:rPr>
        <w:t>9</w:t>
      </w:r>
      <w:r w:rsidR="00C80D0E">
        <w:rPr>
          <w:color w:val="auto"/>
          <w:lang w:val="en-AU" w:eastAsia="en-US"/>
        </w:rPr>
        <w:t>]</w:t>
      </w:r>
      <w:r w:rsidRPr="007D3C62">
        <w:rPr>
          <w:color w:val="auto"/>
          <w:lang w:val="en-ID" w:eastAsia="en-US"/>
        </w:rPr>
        <w:t xml:space="preserve">. </w:t>
      </w:r>
      <w:r w:rsidRPr="007D3C62">
        <w:rPr>
          <w:color w:val="auto"/>
          <w:lang w:val="en-AU" w:eastAsia="en-US"/>
        </w:rPr>
        <w:t>This formula shows that to increase reliability, the price σ2x or the variant of the observation score must be reduced.</w:t>
      </w:r>
      <w:r w:rsidRPr="007D3C62">
        <w:rPr>
          <w:color w:val="auto"/>
          <w:lang w:val="en-ID" w:eastAsia="en-US"/>
        </w:rPr>
        <w:t xml:space="preserve"> </w:t>
      </w:r>
      <w:r w:rsidRPr="007D3C62">
        <w:rPr>
          <w:color w:val="auto"/>
          <w:lang w:val="en-AU" w:eastAsia="en-US"/>
        </w:rPr>
        <w:t>Variants of the measurement results must be homogeneous, variations in the score results of measurements must be small. If the measurement score variant is small, the reliability will be high.</w:t>
      </w:r>
    </w:p>
    <w:p w14:paraId="301AB478" w14:textId="77777777" w:rsidR="007D3C62" w:rsidRPr="007D3C62" w:rsidRDefault="007D3C62" w:rsidP="007D3C62">
      <w:pPr>
        <w:ind w:firstLine="360"/>
        <w:jc w:val="both"/>
        <w:rPr>
          <w:color w:val="auto"/>
          <w:lang w:val="en-ID" w:eastAsia="en-US"/>
        </w:rPr>
      </w:pPr>
      <w:r w:rsidRPr="007D3C62">
        <w:rPr>
          <w:color w:val="auto"/>
          <w:lang w:val="en-ID" w:eastAsia="en-US"/>
        </w:rPr>
        <w:t>Table 2 also shows that the scores of the measurement results of the pre-service teacher personality competence items vary greatly. This has caused in low instrument reliability. In addition, the answers given by respondents to some items are very small, some are even negative. This shows that this respondent has low personal competence or even does not match the personality as a pre-service teacher. The results of this study are a consequence that coaching pre-service teachers in LPTK must be carried out properly and continuously.</w:t>
      </w:r>
    </w:p>
    <w:p w14:paraId="0B8A2FD8" w14:textId="1090DBB6" w:rsidR="007D3C62" w:rsidRPr="007D3C62" w:rsidRDefault="007D3C62" w:rsidP="007D3C62">
      <w:pPr>
        <w:ind w:firstLine="360"/>
        <w:jc w:val="both"/>
        <w:rPr>
          <w:color w:val="auto"/>
          <w:lang w:val="en-ID" w:eastAsia="en-US"/>
        </w:rPr>
      </w:pPr>
      <w:r w:rsidRPr="007D3C62">
        <w:rPr>
          <w:color w:val="auto"/>
          <w:lang w:val="en-ID" w:eastAsia="en-US"/>
        </w:rPr>
        <w:t xml:space="preserve">Pre-service teacher personality development must be carried out systematically and carefully, because this is an attitude that is not too easy to change. Attitudinal abilities are almost identical to personal characters that include the dimensions of moral reasoning, moral feeling, and moral action. </w:t>
      </w:r>
      <w:r w:rsidRPr="007D3C62">
        <w:rPr>
          <w:color w:val="auto"/>
          <w:lang w:val="en-AU" w:eastAsia="en-US"/>
        </w:rPr>
        <w:t xml:space="preserve">It is understood that it often takes long to change from moral reasoning to moral action </w:t>
      </w:r>
      <w:r w:rsidR="00C80D0E">
        <w:rPr>
          <w:color w:val="auto"/>
          <w:lang w:val="en-AU" w:eastAsia="en-US"/>
        </w:rPr>
        <w:t>[</w:t>
      </w:r>
      <w:r w:rsidR="004207BC">
        <w:rPr>
          <w:color w:val="auto"/>
          <w:lang w:val="en-AU" w:eastAsia="en-US"/>
        </w:rPr>
        <w:t>30</w:t>
      </w:r>
      <w:r w:rsidR="00C80D0E">
        <w:rPr>
          <w:color w:val="auto"/>
          <w:lang w:val="en-AU" w:eastAsia="en-US"/>
        </w:rPr>
        <w:t>]</w:t>
      </w:r>
      <w:r w:rsidRPr="007D3C62">
        <w:rPr>
          <w:color w:val="auto"/>
          <w:lang w:val="en-AU" w:eastAsia="en-US"/>
        </w:rPr>
        <w:t>.</w:t>
      </w:r>
      <w:r w:rsidRPr="007D3C62">
        <w:rPr>
          <w:color w:val="auto"/>
          <w:lang w:val="en-ID" w:eastAsia="en-US"/>
        </w:rPr>
        <w:t xml:space="preserve"> This personality development can be done through design, learning implementation, and through assessment. This is in line with </w:t>
      </w:r>
      <w:proofErr w:type="spellStart"/>
      <w:r w:rsidRPr="007D3C62">
        <w:rPr>
          <w:color w:val="auto"/>
          <w:lang w:val="en-ID" w:eastAsia="en-US"/>
        </w:rPr>
        <w:t>Kartowagiran</w:t>
      </w:r>
      <w:proofErr w:type="spellEnd"/>
      <w:r w:rsidRPr="007D3C62">
        <w:rPr>
          <w:color w:val="auto"/>
          <w:lang w:val="en-ID" w:eastAsia="en-US"/>
        </w:rPr>
        <w:t xml:space="preserve"> and </w:t>
      </w:r>
      <w:proofErr w:type="spellStart"/>
      <w:r w:rsidRPr="007D3C62">
        <w:rPr>
          <w:color w:val="auto"/>
          <w:lang w:val="en-ID" w:eastAsia="en-US"/>
        </w:rPr>
        <w:t>Maddini's</w:t>
      </w:r>
      <w:proofErr w:type="spellEnd"/>
      <w:r w:rsidRPr="007D3C62">
        <w:rPr>
          <w:color w:val="auto"/>
          <w:lang w:val="en-ID" w:eastAsia="en-US"/>
        </w:rPr>
        <w:t xml:space="preserve"> </w:t>
      </w:r>
      <w:r w:rsidR="00C80D0E">
        <w:rPr>
          <w:color w:val="auto"/>
          <w:lang w:val="en-ID" w:eastAsia="en-US"/>
        </w:rPr>
        <w:t>[</w:t>
      </w:r>
      <w:r w:rsidR="004207BC">
        <w:rPr>
          <w:color w:val="auto"/>
          <w:lang w:val="en-ID" w:eastAsia="en-US"/>
        </w:rPr>
        <w:t>31</w:t>
      </w:r>
      <w:r w:rsidR="00C80D0E">
        <w:rPr>
          <w:color w:val="auto"/>
          <w:lang w:val="en-ID" w:eastAsia="en-US"/>
        </w:rPr>
        <w:t>]</w:t>
      </w:r>
      <w:r w:rsidRPr="007D3C62">
        <w:rPr>
          <w:color w:val="auto"/>
          <w:lang w:val="en-ID" w:eastAsia="en-US"/>
        </w:rPr>
        <w:t xml:space="preserve"> research which shows that a factor that greatly influences student </w:t>
      </w:r>
      <w:proofErr w:type="spellStart"/>
      <w:r w:rsidRPr="007D3C62">
        <w:rPr>
          <w:color w:val="auto"/>
          <w:lang w:val="en-ID" w:eastAsia="en-US"/>
        </w:rPr>
        <w:t>behavior</w:t>
      </w:r>
      <w:proofErr w:type="spellEnd"/>
      <w:r w:rsidRPr="007D3C62">
        <w:rPr>
          <w:color w:val="auto"/>
          <w:lang w:val="en-ID" w:eastAsia="en-US"/>
        </w:rPr>
        <w:t xml:space="preserve"> is the learning process, the teacher gives examples and verbally presents them.</w:t>
      </w:r>
    </w:p>
    <w:bookmarkEnd w:id="1"/>
    <w:p w14:paraId="4F5A398D" w14:textId="24B68364" w:rsidR="007D3C62" w:rsidRPr="00CE5B79" w:rsidRDefault="007D3C62" w:rsidP="00CE5B79">
      <w:pPr>
        <w:keepNext/>
        <w:keepLines/>
        <w:tabs>
          <w:tab w:val="left" w:pos="454"/>
        </w:tabs>
        <w:spacing w:before="520" w:after="280"/>
        <w:jc w:val="both"/>
        <w:rPr>
          <w:b/>
          <w:color w:val="auto"/>
          <w:sz w:val="24"/>
          <w:szCs w:val="24"/>
          <w:lang w:val="en-ID" w:eastAsia="en-US"/>
        </w:rPr>
      </w:pPr>
      <w:r w:rsidRPr="00CE5B79">
        <w:rPr>
          <w:b/>
          <w:color w:val="auto"/>
          <w:sz w:val="24"/>
          <w:szCs w:val="24"/>
          <w:lang w:val="en-ID" w:eastAsia="en-US"/>
        </w:rPr>
        <w:t>Conclusion</w:t>
      </w:r>
    </w:p>
    <w:p w14:paraId="535EA605" w14:textId="77777777" w:rsidR="007D3C62" w:rsidRPr="007D3C62" w:rsidRDefault="007D3C62" w:rsidP="007D3C62">
      <w:pPr>
        <w:ind w:firstLine="360"/>
        <w:jc w:val="both"/>
        <w:rPr>
          <w:color w:val="auto"/>
          <w:lang w:val="en-ID" w:eastAsia="en-US"/>
        </w:rPr>
      </w:pPr>
      <w:r w:rsidRPr="007D3C62">
        <w:rPr>
          <w:color w:val="auto"/>
          <w:lang w:val="en-ID" w:eastAsia="en-US"/>
        </w:rPr>
        <w:t xml:space="preserve">This research produces instruments that have good content and construct validity. The validity of the contents was proven through expert judgment and then calculated by the Aiken formula, apparently from 34 knockouts 5. Next, the instrument was validated using the construct validity technique using exploratory factor analysis (EFA) and proceeded to confirmatory factor analysis (CFA). Meanwhile, the reliability of this instrument is categorized as moderate = 0.293. </w:t>
      </w:r>
      <w:r w:rsidRPr="007D3C62">
        <w:rPr>
          <w:color w:val="auto"/>
          <w:lang w:val="en-AU" w:eastAsia="en-US"/>
        </w:rPr>
        <w:t>This is because the mean scores on item one with other items very greatly</w:t>
      </w:r>
      <w:r w:rsidRPr="007D3C62">
        <w:rPr>
          <w:color w:val="auto"/>
          <w:lang w:val="en-ID" w:eastAsia="en-US"/>
        </w:rPr>
        <w:t>.</w:t>
      </w:r>
    </w:p>
    <w:p w14:paraId="7113F8D0" w14:textId="7248B636" w:rsidR="007D3C62" w:rsidRPr="00CE5B79" w:rsidRDefault="007D3C62" w:rsidP="00CE5B79">
      <w:pPr>
        <w:keepNext/>
        <w:keepLines/>
        <w:tabs>
          <w:tab w:val="left" w:pos="454"/>
        </w:tabs>
        <w:spacing w:before="520" w:after="280"/>
        <w:jc w:val="both"/>
        <w:rPr>
          <w:b/>
          <w:color w:val="auto"/>
          <w:sz w:val="24"/>
          <w:szCs w:val="24"/>
          <w:lang w:val="en-ID" w:eastAsia="en-US"/>
        </w:rPr>
      </w:pPr>
      <w:r w:rsidRPr="00CE5B79">
        <w:rPr>
          <w:b/>
          <w:color w:val="auto"/>
          <w:sz w:val="24"/>
          <w:szCs w:val="24"/>
          <w:lang w:val="en-ID" w:eastAsia="en-US"/>
        </w:rPr>
        <w:t>Suggestion</w:t>
      </w:r>
    </w:p>
    <w:p w14:paraId="263D2C17" w14:textId="77777777" w:rsidR="007D3C62" w:rsidRPr="007D3C62" w:rsidRDefault="007D3C62" w:rsidP="007D3C62">
      <w:pPr>
        <w:ind w:firstLine="360"/>
        <w:jc w:val="both"/>
        <w:rPr>
          <w:color w:val="auto"/>
          <w:lang w:val="en-ID" w:eastAsia="en-US"/>
        </w:rPr>
      </w:pPr>
      <w:r w:rsidRPr="007D3C62">
        <w:rPr>
          <w:color w:val="auto"/>
          <w:lang w:val="en-ID" w:eastAsia="en-US"/>
        </w:rPr>
        <w:t>If it is to be used, it is better for this instrument to be trialled again, to respondents of pre-service teachers in industrial revolution 4.0 in semester 6 or 7 so that they have understood their position, namely pre-service teacher. They already understand the personality competencies that must be mastered by the teacher.</w:t>
      </w:r>
    </w:p>
    <w:p w14:paraId="72AA0CB3" w14:textId="77777777" w:rsidR="003225DE" w:rsidRPr="0042530D" w:rsidRDefault="003225DE" w:rsidP="003225DE">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lastRenderedPageBreak/>
        <w:t>References</w:t>
      </w:r>
    </w:p>
    <w:p w14:paraId="00B62977" w14:textId="77777777" w:rsidR="003225DE" w:rsidRPr="00265081" w:rsidRDefault="003225DE" w:rsidP="003225DE">
      <w:pPr>
        <w:tabs>
          <w:tab w:val="left" w:pos="709"/>
        </w:tabs>
        <w:ind w:left="227"/>
        <w:jc w:val="both"/>
        <w:rPr>
          <w:rFonts w:eastAsia="Times"/>
        </w:rPr>
      </w:pPr>
      <w:bookmarkStart w:id="2" w:name="_Hlk47957074"/>
      <w:r w:rsidRPr="0042530D">
        <w:rPr>
          <w:rFonts w:eastAsia="Times"/>
        </w:rPr>
        <w:t>[1]</w:t>
      </w:r>
      <w:r w:rsidRPr="00265081">
        <w:rPr>
          <w:rFonts w:eastAsia="Times"/>
        </w:rPr>
        <w:t xml:space="preserve"> Kartowagiran., Hadi, S., Wahyuni, N., Alfarisa, Widowati. Effectiveness of the AA “4C” Authentic Assessment Model : A Single-Case-Research (SCR). The New Educational review. DOI: 10.15804/tnet.2019.57.316</w:t>
      </w:r>
      <w:r>
        <w:rPr>
          <w:rFonts w:eastAsia="Times"/>
        </w:rPr>
        <w:t xml:space="preserve"> </w:t>
      </w:r>
      <w:r w:rsidRPr="00265081">
        <w:rPr>
          <w:rFonts w:eastAsia="Times"/>
        </w:rPr>
        <w:t>(2019)</w:t>
      </w:r>
    </w:p>
    <w:p w14:paraId="67616636" w14:textId="77777777" w:rsidR="003225DE" w:rsidRDefault="003225DE" w:rsidP="003225DE">
      <w:pPr>
        <w:tabs>
          <w:tab w:val="left" w:pos="709"/>
        </w:tabs>
        <w:ind w:left="227"/>
        <w:jc w:val="both"/>
        <w:rPr>
          <w:rFonts w:eastAsia="Times"/>
        </w:rPr>
      </w:pPr>
      <w:r w:rsidRPr="0042530D">
        <w:rPr>
          <w:rFonts w:eastAsia="Times"/>
        </w:rPr>
        <w:t>[</w:t>
      </w:r>
      <w:r>
        <w:rPr>
          <w:rFonts w:eastAsia="Times"/>
        </w:rPr>
        <w:t>2</w:t>
      </w:r>
      <w:r w:rsidRPr="0042530D">
        <w:rPr>
          <w:rFonts w:eastAsia="Times"/>
        </w:rPr>
        <w:t>]</w:t>
      </w:r>
      <w:r w:rsidRPr="00265081">
        <w:rPr>
          <w:rFonts w:eastAsia="Times"/>
        </w:rPr>
        <w:t xml:space="preserve"> Wijayati, P.H., Rofiah., &amp; Fauzi, A. “My lecturer’s expressionless face kills me!” An evaluation of learning process of German language class in Indonesia.  REiD (Research and Evaluation in Education), 4(2), 2018, 94-104 (2018)</w:t>
      </w:r>
    </w:p>
    <w:p w14:paraId="1E9B175D" w14:textId="1381DE38" w:rsidR="003225DE" w:rsidRPr="003225DE" w:rsidRDefault="003225DE" w:rsidP="003225DE">
      <w:pPr>
        <w:tabs>
          <w:tab w:val="left" w:pos="709"/>
        </w:tabs>
        <w:ind w:left="227"/>
        <w:jc w:val="both"/>
        <w:rPr>
          <w:rFonts w:eastAsia="Times"/>
        </w:rPr>
      </w:pPr>
      <w:r w:rsidRPr="0042530D">
        <w:rPr>
          <w:rFonts w:eastAsia="Times"/>
        </w:rPr>
        <w:t>[</w:t>
      </w:r>
      <w:r>
        <w:rPr>
          <w:rFonts w:eastAsia="Times"/>
        </w:rPr>
        <w:t>3</w:t>
      </w:r>
      <w:r w:rsidRPr="0042530D">
        <w:rPr>
          <w:rFonts w:eastAsia="Times"/>
        </w:rPr>
        <w:t>]</w:t>
      </w:r>
      <w:r>
        <w:rPr>
          <w:rFonts w:eastAsia="Times"/>
        </w:rPr>
        <w:t xml:space="preserve"> </w:t>
      </w:r>
      <w:r w:rsidRPr="003225DE">
        <w:rPr>
          <w:rFonts w:eastAsia="Times"/>
        </w:rPr>
        <w:t>Jones, A. Vocational education for the twenty-first century. The University of Melbourne. August.</w:t>
      </w:r>
      <w:r w:rsidR="004207BC">
        <w:rPr>
          <w:rFonts w:eastAsia="Times"/>
        </w:rPr>
        <w:t xml:space="preserve"> </w:t>
      </w:r>
      <w:r w:rsidR="004207BC" w:rsidRPr="003225DE">
        <w:rPr>
          <w:rFonts w:eastAsia="Times"/>
        </w:rPr>
        <w:t>(2018)</w:t>
      </w:r>
    </w:p>
    <w:p w14:paraId="3EDBFF63" w14:textId="683FEBFF" w:rsidR="003225DE" w:rsidRPr="003225DE" w:rsidRDefault="003225DE" w:rsidP="003225DE">
      <w:pPr>
        <w:tabs>
          <w:tab w:val="left" w:pos="709"/>
        </w:tabs>
        <w:ind w:left="227"/>
        <w:jc w:val="both"/>
        <w:rPr>
          <w:rFonts w:eastAsia="Times"/>
        </w:rPr>
      </w:pPr>
      <w:r w:rsidRPr="0042530D">
        <w:rPr>
          <w:rFonts w:eastAsia="Times"/>
        </w:rPr>
        <w:t>[</w:t>
      </w:r>
      <w:r>
        <w:rPr>
          <w:rFonts w:eastAsia="Times"/>
        </w:rPr>
        <w:t>4</w:t>
      </w:r>
      <w:r w:rsidRPr="0042530D">
        <w:rPr>
          <w:rFonts w:eastAsia="Times"/>
        </w:rPr>
        <w:t>]</w:t>
      </w:r>
      <w:r>
        <w:rPr>
          <w:rFonts w:eastAsia="Times"/>
        </w:rPr>
        <w:t xml:space="preserve"> </w:t>
      </w:r>
      <w:r w:rsidRPr="003225DE">
        <w:rPr>
          <w:rFonts w:eastAsia="Times"/>
        </w:rPr>
        <w:t>Gleason, N.W. (Ed). Higher Education in The Era of The Fourth Industrial Revolution. Singapore: Springer Published.</w:t>
      </w:r>
      <w:r w:rsidR="004207BC">
        <w:rPr>
          <w:rFonts w:eastAsia="Times"/>
        </w:rPr>
        <w:t xml:space="preserve"> </w:t>
      </w:r>
      <w:r w:rsidR="004207BC" w:rsidRPr="003225DE">
        <w:rPr>
          <w:rFonts w:eastAsia="Times"/>
        </w:rPr>
        <w:t>(2018)</w:t>
      </w:r>
    </w:p>
    <w:p w14:paraId="18E14013" w14:textId="5BABAFA3" w:rsidR="003225DE" w:rsidRPr="003225DE" w:rsidRDefault="003225DE" w:rsidP="003225DE">
      <w:pPr>
        <w:tabs>
          <w:tab w:val="left" w:pos="709"/>
        </w:tabs>
        <w:ind w:left="227"/>
        <w:jc w:val="both"/>
        <w:rPr>
          <w:rFonts w:eastAsia="Times"/>
        </w:rPr>
      </w:pPr>
      <w:r w:rsidRPr="0042530D">
        <w:rPr>
          <w:rFonts w:eastAsia="Times"/>
        </w:rPr>
        <w:t>[</w:t>
      </w:r>
      <w:r>
        <w:rPr>
          <w:rFonts w:eastAsia="Times"/>
        </w:rPr>
        <w:t xml:space="preserve">5] </w:t>
      </w:r>
      <w:r w:rsidRPr="003225DE">
        <w:rPr>
          <w:rFonts w:eastAsia="Times"/>
        </w:rPr>
        <w:t>Corr, J. And Mattews, G. The Cambridge Handbook of Personality Psychology. New York: Cambridge University Press.</w:t>
      </w:r>
      <w:r w:rsidR="004207BC">
        <w:rPr>
          <w:rFonts w:eastAsia="Times"/>
        </w:rPr>
        <w:t xml:space="preserve"> </w:t>
      </w:r>
      <w:r w:rsidR="004207BC" w:rsidRPr="003225DE">
        <w:rPr>
          <w:rFonts w:eastAsia="Times"/>
        </w:rPr>
        <w:t>(2009)</w:t>
      </w:r>
    </w:p>
    <w:p w14:paraId="1463DAD8" w14:textId="1685C823" w:rsidR="003225DE" w:rsidRPr="003225DE" w:rsidRDefault="003225DE" w:rsidP="003225DE">
      <w:pPr>
        <w:tabs>
          <w:tab w:val="left" w:pos="709"/>
        </w:tabs>
        <w:ind w:left="227"/>
        <w:jc w:val="both"/>
        <w:rPr>
          <w:rFonts w:eastAsia="Times"/>
        </w:rPr>
      </w:pPr>
      <w:r w:rsidRPr="0042530D">
        <w:rPr>
          <w:rFonts w:eastAsia="Times"/>
        </w:rPr>
        <w:t>[</w:t>
      </w:r>
      <w:r>
        <w:rPr>
          <w:rFonts w:eastAsia="Times"/>
        </w:rPr>
        <w:t>6</w:t>
      </w:r>
      <w:r w:rsidRPr="0042530D">
        <w:rPr>
          <w:rFonts w:eastAsia="Times"/>
        </w:rPr>
        <w:t>]</w:t>
      </w:r>
      <w:r>
        <w:rPr>
          <w:rFonts w:eastAsia="Times"/>
        </w:rPr>
        <w:t xml:space="preserve"> </w:t>
      </w:r>
      <w:r w:rsidRPr="003225DE">
        <w:rPr>
          <w:rFonts w:eastAsia="Times"/>
        </w:rPr>
        <w:t>Cattel, R.B</w:t>
      </w:r>
      <w:r w:rsidR="004207BC">
        <w:rPr>
          <w:rFonts w:eastAsia="Times"/>
        </w:rPr>
        <w:t xml:space="preserve">. </w:t>
      </w:r>
      <w:r w:rsidRPr="003225DE">
        <w:rPr>
          <w:rFonts w:eastAsia="Times"/>
        </w:rPr>
        <w:t>The Scientific Analysis of Personality. New York: Penguin.</w:t>
      </w:r>
      <w:r w:rsidR="004207BC">
        <w:rPr>
          <w:rFonts w:eastAsia="Times"/>
        </w:rPr>
        <w:t xml:space="preserve"> </w:t>
      </w:r>
      <w:r w:rsidR="004207BC" w:rsidRPr="003225DE">
        <w:rPr>
          <w:rFonts w:eastAsia="Times"/>
        </w:rPr>
        <w:t>(1965).</w:t>
      </w:r>
    </w:p>
    <w:p w14:paraId="55CF3DF3" w14:textId="42AFBB8F" w:rsidR="003225DE" w:rsidRDefault="003225DE" w:rsidP="003225DE">
      <w:pPr>
        <w:tabs>
          <w:tab w:val="left" w:pos="709"/>
        </w:tabs>
        <w:ind w:left="227"/>
        <w:jc w:val="both"/>
        <w:rPr>
          <w:rFonts w:eastAsia="Times"/>
        </w:rPr>
      </w:pPr>
      <w:r w:rsidRPr="0042530D">
        <w:rPr>
          <w:rFonts w:eastAsia="Times"/>
        </w:rPr>
        <w:t>[</w:t>
      </w:r>
      <w:r>
        <w:rPr>
          <w:rFonts w:eastAsia="Times"/>
        </w:rPr>
        <w:t xml:space="preserve">7] </w:t>
      </w:r>
      <w:r w:rsidR="006F4AED" w:rsidRPr="006F4AED">
        <w:rPr>
          <w:rFonts w:eastAsia="Times"/>
        </w:rPr>
        <w:t>Burger, J. M. Increasing compliance by improving the deal: The that's-not-all technique. </w:t>
      </w:r>
      <w:r w:rsidR="006F4AED" w:rsidRPr="006F4AED">
        <w:rPr>
          <w:rFonts w:eastAsia="Times"/>
          <w:i/>
          <w:iCs/>
        </w:rPr>
        <w:t>Journal of Personality and Social Psychology, 51</w:t>
      </w:r>
      <w:r w:rsidR="006F4AED" w:rsidRPr="006F4AED">
        <w:rPr>
          <w:rFonts w:eastAsia="Times"/>
        </w:rPr>
        <w:t>(2), 277–283. </w:t>
      </w:r>
      <w:hyperlink r:id="rId15" w:tgtFrame="_blank" w:history="1">
        <w:r w:rsidR="006F4AED" w:rsidRPr="006F4AED">
          <w:rPr>
            <w:rStyle w:val="Hyperlink"/>
            <w:rFonts w:eastAsia="Times"/>
            <w:color w:val="000000" w:themeColor="text1"/>
            <w:u w:val="none"/>
          </w:rPr>
          <w:t>https://doi.org/10.1037/0022-3514.51.2.277</w:t>
        </w:r>
      </w:hyperlink>
      <w:r w:rsidR="004207BC">
        <w:rPr>
          <w:rFonts w:eastAsia="Times"/>
          <w:color w:val="000000" w:themeColor="text1"/>
        </w:rPr>
        <w:t xml:space="preserve"> </w:t>
      </w:r>
      <w:r w:rsidR="004207BC" w:rsidRPr="006F4AED">
        <w:rPr>
          <w:rFonts w:eastAsia="Times"/>
        </w:rPr>
        <w:t>(1986)</w:t>
      </w:r>
    </w:p>
    <w:p w14:paraId="0A8876F0" w14:textId="2F53853B" w:rsidR="003225DE" w:rsidRDefault="003225DE" w:rsidP="003225DE">
      <w:pPr>
        <w:tabs>
          <w:tab w:val="left" w:pos="709"/>
        </w:tabs>
        <w:ind w:left="227"/>
        <w:jc w:val="both"/>
        <w:rPr>
          <w:rFonts w:eastAsia="Times"/>
        </w:rPr>
      </w:pPr>
      <w:r w:rsidRPr="0042530D">
        <w:rPr>
          <w:rFonts w:eastAsia="Times"/>
        </w:rPr>
        <w:t>[</w:t>
      </w:r>
      <w:r>
        <w:rPr>
          <w:rFonts w:eastAsia="Times"/>
        </w:rPr>
        <w:t>8]</w:t>
      </w:r>
      <w:r w:rsidRPr="003225DE">
        <w:rPr>
          <w:rFonts w:eastAsia="Times"/>
        </w:rPr>
        <w:t xml:space="preserve"> Atkinson, et.al. Pengantar Psikologi (Terjemahan Nurdjanah Taufiq, Rukmini Barhana, Agus Dharma, dan Michael Adryanto). Jakarta: Erlangga.</w:t>
      </w:r>
      <w:r w:rsidR="004207BC">
        <w:rPr>
          <w:rFonts w:eastAsia="Times"/>
        </w:rPr>
        <w:t xml:space="preserve"> </w:t>
      </w:r>
      <w:r w:rsidR="004207BC" w:rsidRPr="003225DE">
        <w:rPr>
          <w:rFonts w:eastAsia="Times"/>
        </w:rPr>
        <w:t>(1998)</w:t>
      </w:r>
    </w:p>
    <w:p w14:paraId="791BA47C" w14:textId="1C259AF5" w:rsidR="005139D7" w:rsidRPr="004207BC" w:rsidRDefault="005139D7" w:rsidP="005139D7">
      <w:pPr>
        <w:tabs>
          <w:tab w:val="left" w:pos="709"/>
        </w:tabs>
        <w:ind w:left="227"/>
        <w:jc w:val="both"/>
        <w:rPr>
          <w:rFonts w:eastAsia="Times"/>
          <w:lang w:val="en-AU"/>
        </w:rPr>
      </w:pPr>
      <w:r>
        <w:rPr>
          <w:rFonts w:eastAsia="Times"/>
        </w:rPr>
        <w:t xml:space="preserve">[9] </w:t>
      </w:r>
      <w:r w:rsidRPr="005139D7">
        <w:rPr>
          <w:rFonts w:eastAsia="Times"/>
          <w:lang w:val="en-AU"/>
        </w:rPr>
        <w:t xml:space="preserve">Allport, G. W. The Ego in Contemporary Psychology. </w:t>
      </w:r>
      <w:r w:rsidRPr="005139D7">
        <w:rPr>
          <w:rFonts w:eastAsia="Times"/>
          <w:i/>
          <w:iCs/>
          <w:lang w:val="en-AU"/>
        </w:rPr>
        <w:t>Psychological review, 50(5), 451.</w:t>
      </w:r>
      <w:r w:rsidR="004207BC">
        <w:rPr>
          <w:rFonts w:eastAsia="Times"/>
          <w:lang w:val="en-AU"/>
        </w:rPr>
        <w:t xml:space="preserve"> </w:t>
      </w:r>
      <w:r w:rsidR="004207BC" w:rsidRPr="005139D7">
        <w:rPr>
          <w:rFonts w:eastAsia="Times"/>
          <w:lang w:val="en-AU"/>
        </w:rPr>
        <w:t>(1943)</w:t>
      </w:r>
    </w:p>
    <w:p w14:paraId="304778A1" w14:textId="5688BE4D" w:rsidR="003225DE" w:rsidRPr="003225DE" w:rsidRDefault="003225DE" w:rsidP="003225DE">
      <w:pPr>
        <w:tabs>
          <w:tab w:val="left" w:pos="709"/>
        </w:tabs>
        <w:ind w:left="227"/>
        <w:jc w:val="both"/>
        <w:rPr>
          <w:rFonts w:eastAsia="Times"/>
        </w:rPr>
      </w:pPr>
      <w:r w:rsidRPr="0042530D">
        <w:rPr>
          <w:rFonts w:eastAsia="Times"/>
        </w:rPr>
        <w:t>[</w:t>
      </w:r>
      <w:r>
        <w:rPr>
          <w:rFonts w:eastAsia="Times"/>
        </w:rPr>
        <w:t>10</w:t>
      </w:r>
      <w:r w:rsidRPr="0042530D">
        <w:rPr>
          <w:rFonts w:eastAsia="Times"/>
        </w:rPr>
        <w:t>]</w:t>
      </w:r>
      <w:r>
        <w:rPr>
          <w:rFonts w:eastAsia="Times"/>
        </w:rPr>
        <w:t xml:space="preserve"> </w:t>
      </w:r>
      <w:r w:rsidRPr="003225DE">
        <w:rPr>
          <w:rFonts w:eastAsia="Times"/>
        </w:rPr>
        <w:t>Hurlock, E. B. Developmental Psychology: A Life-Span Approach. New York: McGrawHill.</w:t>
      </w:r>
      <w:r w:rsidR="004207BC">
        <w:rPr>
          <w:rFonts w:eastAsia="Times"/>
        </w:rPr>
        <w:t xml:space="preserve"> </w:t>
      </w:r>
      <w:r w:rsidR="004207BC" w:rsidRPr="003225DE">
        <w:rPr>
          <w:rFonts w:eastAsia="Times"/>
        </w:rPr>
        <w:t>(1980)</w:t>
      </w:r>
    </w:p>
    <w:p w14:paraId="40EB8F1B" w14:textId="2F3EB5BA" w:rsidR="003225DE" w:rsidRPr="003225DE" w:rsidRDefault="003225DE" w:rsidP="003225DE">
      <w:pPr>
        <w:tabs>
          <w:tab w:val="left" w:pos="709"/>
        </w:tabs>
        <w:ind w:left="227"/>
        <w:jc w:val="both"/>
        <w:rPr>
          <w:rFonts w:eastAsia="Times"/>
        </w:rPr>
      </w:pPr>
      <w:r>
        <w:rPr>
          <w:rFonts w:eastAsia="Times"/>
        </w:rPr>
        <w:t xml:space="preserve">[11] </w:t>
      </w:r>
      <w:r w:rsidRPr="003225DE">
        <w:rPr>
          <w:rFonts w:eastAsia="Times"/>
        </w:rPr>
        <w:t>Chamoro-Premuzic, T dan Furnham, A. Personality and Intellectual Competence. London. LEA.</w:t>
      </w:r>
      <w:r w:rsidR="004207BC">
        <w:rPr>
          <w:rFonts w:eastAsia="Times"/>
        </w:rPr>
        <w:t xml:space="preserve"> </w:t>
      </w:r>
      <w:r w:rsidR="004207BC" w:rsidRPr="003225DE">
        <w:rPr>
          <w:rFonts w:eastAsia="Times"/>
        </w:rPr>
        <w:t>(2005)</w:t>
      </w:r>
    </w:p>
    <w:p w14:paraId="27DDD7C0" w14:textId="2A75256A" w:rsidR="003225DE" w:rsidRPr="003225DE" w:rsidRDefault="003225DE" w:rsidP="003225DE">
      <w:pPr>
        <w:tabs>
          <w:tab w:val="left" w:pos="709"/>
        </w:tabs>
        <w:ind w:left="227"/>
        <w:jc w:val="both"/>
        <w:rPr>
          <w:rFonts w:eastAsia="Times"/>
        </w:rPr>
      </w:pPr>
      <w:r>
        <w:rPr>
          <w:rFonts w:eastAsia="Times"/>
        </w:rPr>
        <w:t xml:space="preserve">[12] </w:t>
      </w:r>
      <w:r w:rsidRPr="003225DE">
        <w:rPr>
          <w:rFonts w:eastAsia="Times"/>
        </w:rPr>
        <w:t>Republic of Indonesia. RI Law Number 14, 2005, concerning Teachers and Lecturers.</w:t>
      </w:r>
      <w:r w:rsidR="004207BC">
        <w:rPr>
          <w:rFonts w:eastAsia="Times"/>
        </w:rPr>
        <w:t xml:space="preserve"> </w:t>
      </w:r>
      <w:r w:rsidR="004207BC" w:rsidRPr="003225DE">
        <w:rPr>
          <w:rFonts w:eastAsia="Times"/>
        </w:rPr>
        <w:t>(2005)</w:t>
      </w:r>
    </w:p>
    <w:p w14:paraId="04AAAB88" w14:textId="424F0316" w:rsidR="003225DE" w:rsidRPr="00CB5B97" w:rsidRDefault="003225DE" w:rsidP="003225DE">
      <w:pPr>
        <w:tabs>
          <w:tab w:val="left" w:pos="709"/>
        </w:tabs>
        <w:ind w:left="227"/>
        <w:jc w:val="both"/>
        <w:rPr>
          <w:rFonts w:eastAsia="Times"/>
        </w:rPr>
      </w:pPr>
      <w:r>
        <w:rPr>
          <w:rFonts w:eastAsia="Times"/>
        </w:rPr>
        <w:t>[13</w:t>
      </w:r>
      <w:r w:rsidRPr="00CB5B97">
        <w:rPr>
          <w:rFonts w:eastAsia="Times"/>
        </w:rPr>
        <w:t>] President of the Republic of Indonesia. Minister of National Education Regulation Number 16, 2005, Regarding Teacher Competence Standards.</w:t>
      </w:r>
      <w:r w:rsidR="004207BC" w:rsidRPr="00CB5B97">
        <w:rPr>
          <w:rFonts w:eastAsia="Times"/>
        </w:rPr>
        <w:t xml:space="preserve"> (2007)</w:t>
      </w:r>
    </w:p>
    <w:p w14:paraId="22833E86" w14:textId="0155C85B" w:rsidR="003225DE" w:rsidRPr="00CB5B97" w:rsidRDefault="003225DE" w:rsidP="003225DE">
      <w:pPr>
        <w:tabs>
          <w:tab w:val="left" w:pos="709"/>
        </w:tabs>
        <w:ind w:left="227"/>
        <w:jc w:val="both"/>
        <w:rPr>
          <w:rFonts w:eastAsia="Times"/>
        </w:rPr>
      </w:pPr>
      <w:r w:rsidRPr="00CB5B97">
        <w:rPr>
          <w:rFonts w:eastAsia="Times"/>
        </w:rPr>
        <w:t>[14]</w:t>
      </w:r>
      <w:r w:rsidR="005139D7" w:rsidRPr="00CB5B97">
        <w:rPr>
          <w:rFonts w:eastAsia="Times"/>
        </w:rPr>
        <w:t xml:space="preserve"> Gleason, B. Thinking in hashtags: exploring teenagers’ new literacies practices on Twitter. Learning, Media and Technology, 43(2), 165-180</w:t>
      </w:r>
      <w:r w:rsidR="004207BC" w:rsidRPr="00CB5B97">
        <w:rPr>
          <w:rFonts w:eastAsia="Times"/>
        </w:rPr>
        <w:t xml:space="preserve"> (2018).</w:t>
      </w:r>
    </w:p>
    <w:p w14:paraId="20026469" w14:textId="29BED1D8" w:rsidR="003225DE" w:rsidRPr="00CB5B97" w:rsidRDefault="003225DE" w:rsidP="003225DE">
      <w:pPr>
        <w:tabs>
          <w:tab w:val="left" w:pos="709"/>
        </w:tabs>
        <w:ind w:left="227"/>
        <w:jc w:val="both"/>
        <w:rPr>
          <w:rFonts w:eastAsia="Times"/>
        </w:rPr>
      </w:pPr>
      <w:r w:rsidRPr="00CB5B97">
        <w:rPr>
          <w:rFonts w:eastAsia="Times"/>
        </w:rPr>
        <w:t>[15] Aiken, L.R. Three coeficients for analyzing the reliability and validity of ratings. Educational and psychological measurement. 1985, 45., pp 131-142.</w:t>
      </w:r>
      <w:r w:rsidR="004207BC" w:rsidRPr="00CB5B97">
        <w:rPr>
          <w:rFonts w:eastAsia="Times"/>
        </w:rPr>
        <w:t xml:space="preserve"> (1985).</w:t>
      </w:r>
    </w:p>
    <w:p w14:paraId="16D2DFCC" w14:textId="55B5E241" w:rsidR="003225DE" w:rsidRPr="00CB5B97" w:rsidRDefault="003225DE" w:rsidP="003225DE">
      <w:pPr>
        <w:tabs>
          <w:tab w:val="left" w:pos="709"/>
        </w:tabs>
        <w:ind w:left="227"/>
        <w:jc w:val="both"/>
        <w:rPr>
          <w:rFonts w:eastAsia="Times"/>
        </w:rPr>
      </w:pPr>
      <w:r w:rsidRPr="00CB5B97">
        <w:rPr>
          <w:rFonts w:eastAsia="Times"/>
        </w:rPr>
        <w:t xml:space="preserve">[16] </w:t>
      </w:r>
      <w:r w:rsidR="005D0A9B" w:rsidRPr="00CB5B97">
        <w:rPr>
          <w:rFonts w:eastAsia="Times"/>
        </w:rPr>
        <w:t>Hair, J. F., et al.  Multivariate Data Analysis 6 th Edition. New Jersey: Pearson Education Inc. (2007)</w:t>
      </w:r>
    </w:p>
    <w:p w14:paraId="32E04BCF" w14:textId="05162415" w:rsidR="003225DE" w:rsidRPr="00CB5B97" w:rsidRDefault="003225DE" w:rsidP="003225DE">
      <w:pPr>
        <w:tabs>
          <w:tab w:val="left" w:pos="709"/>
        </w:tabs>
        <w:ind w:left="227"/>
        <w:jc w:val="both"/>
        <w:rPr>
          <w:rFonts w:eastAsia="Times"/>
        </w:rPr>
      </w:pPr>
      <w:r w:rsidRPr="00CB5B97">
        <w:rPr>
          <w:rFonts w:eastAsia="Times"/>
        </w:rPr>
        <w:t>[17] Cramer, D. Advanced Quantitative Data Analysis. McGraw-Hill Education (UK)</w:t>
      </w:r>
      <w:r w:rsidR="004207BC" w:rsidRPr="00CB5B97">
        <w:rPr>
          <w:rFonts w:eastAsia="Times"/>
        </w:rPr>
        <w:t xml:space="preserve"> (2003)</w:t>
      </w:r>
    </w:p>
    <w:p w14:paraId="61C90E9A" w14:textId="2C2070C3" w:rsidR="003225DE" w:rsidRPr="00CB5B97" w:rsidRDefault="003225DE" w:rsidP="003225DE">
      <w:pPr>
        <w:tabs>
          <w:tab w:val="left" w:pos="709"/>
        </w:tabs>
        <w:ind w:left="227"/>
        <w:jc w:val="both"/>
        <w:rPr>
          <w:rFonts w:eastAsia="Times"/>
        </w:rPr>
      </w:pPr>
      <w:r w:rsidRPr="00CB5B97">
        <w:rPr>
          <w:rFonts w:eastAsia="Times"/>
        </w:rPr>
        <w:t>[18] Arbuckle, Jarnes L. AMOS user's guide. Version 3.6. Chicago: Smallwaters.</w:t>
      </w:r>
      <w:r w:rsidR="004207BC" w:rsidRPr="00CB5B97">
        <w:rPr>
          <w:rFonts w:eastAsia="Times"/>
        </w:rPr>
        <w:t xml:space="preserve"> (1997)</w:t>
      </w:r>
    </w:p>
    <w:p w14:paraId="794211F1" w14:textId="24893836" w:rsidR="003225DE" w:rsidRPr="00CB5B97" w:rsidRDefault="003225DE" w:rsidP="003225DE">
      <w:pPr>
        <w:tabs>
          <w:tab w:val="left" w:pos="709"/>
        </w:tabs>
        <w:ind w:left="227"/>
        <w:jc w:val="both"/>
        <w:rPr>
          <w:rFonts w:eastAsia="Times"/>
        </w:rPr>
      </w:pPr>
      <w:r w:rsidRPr="00CB5B97">
        <w:rPr>
          <w:rFonts w:eastAsia="Times"/>
        </w:rPr>
        <w:t>[19]</w:t>
      </w:r>
      <w:r w:rsidR="00DA655B" w:rsidRPr="00CB5B97">
        <w:rPr>
          <w:rFonts w:eastAsia="Times"/>
        </w:rPr>
        <w:t xml:space="preserve"> Phedazur, Elazar J</w:t>
      </w:r>
      <w:r w:rsidR="004207BC" w:rsidRPr="00CB5B97">
        <w:rPr>
          <w:rFonts w:eastAsia="Times"/>
        </w:rPr>
        <w:t>.</w:t>
      </w:r>
      <w:r w:rsidR="00DA655B" w:rsidRPr="00CB5B97">
        <w:rPr>
          <w:rFonts w:eastAsia="Times"/>
        </w:rPr>
        <w:t xml:space="preserve"> Multiple Regression in Behavioral Research: Explanation and Prediction, Second Edition, New York: CBS College Publishing</w:t>
      </w:r>
      <w:r w:rsidR="004207BC" w:rsidRPr="00CB5B97">
        <w:rPr>
          <w:rFonts w:eastAsia="Times"/>
        </w:rPr>
        <w:t xml:space="preserve"> (1982)</w:t>
      </w:r>
    </w:p>
    <w:p w14:paraId="2434F909" w14:textId="504E7088" w:rsidR="003366F7" w:rsidRPr="00CB5B97" w:rsidRDefault="003225DE" w:rsidP="003366F7">
      <w:pPr>
        <w:tabs>
          <w:tab w:val="left" w:pos="709"/>
        </w:tabs>
        <w:ind w:left="227"/>
        <w:jc w:val="both"/>
        <w:rPr>
          <w:rFonts w:eastAsia="Times"/>
        </w:rPr>
      </w:pPr>
      <w:r w:rsidRPr="00CB5B97">
        <w:rPr>
          <w:rFonts w:eastAsia="Times"/>
        </w:rPr>
        <w:t>[20]</w:t>
      </w:r>
      <w:r w:rsidR="005D0A9B" w:rsidRPr="00CB5B97">
        <w:rPr>
          <w:rFonts w:eastAsia="Times"/>
        </w:rPr>
        <w:t xml:space="preserve"> </w:t>
      </w:r>
      <w:r w:rsidR="003366F7" w:rsidRPr="00CB5B97">
        <w:rPr>
          <w:rFonts w:eastAsia="Times"/>
        </w:rPr>
        <w:t>Ferdinand, Augusty. Structural equation modeling dalam penelitian manajemen. Semarang: Badan Penerbit Universitas Diponegoro (2002).</w:t>
      </w:r>
    </w:p>
    <w:p w14:paraId="0EB4EEC9" w14:textId="1C417F01" w:rsidR="004207BC" w:rsidRPr="00CB5B97" w:rsidRDefault="003225DE" w:rsidP="004207BC">
      <w:pPr>
        <w:tabs>
          <w:tab w:val="left" w:pos="709"/>
        </w:tabs>
        <w:ind w:left="227"/>
        <w:jc w:val="both"/>
        <w:rPr>
          <w:rFonts w:eastAsia="Times"/>
          <w:lang w:val="en-AU"/>
        </w:rPr>
      </w:pPr>
      <w:r w:rsidRPr="00CB5B97">
        <w:rPr>
          <w:rFonts w:eastAsia="Times"/>
        </w:rPr>
        <w:t xml:space="preserve">[21] </w:t>
      </w:r>
      <w:r w:rsidR="004207BC" w:rsidRPr="00CB5B97">
        <w:rPr>
          <w:rFonts w:eastAsia="Times"/>
          <w:lang w:val="en-AU"/>
        </w:rPr>
        <w:t>Cronbach, L. J. Essential of psychological testing. New York: Harper and Ross. (1985)</w:t>
      </w:r>
    </w:p>
    <w:p w14:paraId="41716CCB" w14:textId="26587D7D" w:rsidR="003225DE" w:rsidRPr="00CB5B97" w:rsidRDefault="004207BC" w:rsidP="005139D7">
      <w:pPr>
        <w:tabs>
          <w:tab w:val="left" w:pos="709"/>
        </w:tabs>
        <w:ind w:left="227"/>
        <w:jc w:val="both"/>
        <w:rPr>
          <w:rFonts w:eastAsia="Times"/>
        </w:rPr>
      </w:pPr>
      <w:r w:rsidRPr="00CB5B97">
        <w:rPr>
          <w:rFonts w:eastAsia="Times"/>
        </w:rPr>
        <w:t>[22]</w:t>
      </w:r>
      <w:r w:rsidR="003225DE" w:rsidRPr="00CB5B97">
        <w:rPr>
          <w:rFonts w:eastAsia="Times"/>
        </w:rPr>
        <w:t>Salkind, N. J. Encyclopedia of Measurement and Statistics. SAGE.</w:t>
      </w:r>
      <w:r w:rsidRPr="00CB5B97">
        <w:rPr>
          <w:rFonts w:eastAsia="Times"/>
        </w:rPr>
        <w:t xml:space="preserve"> (2007)</w:t>
      </w:r>
    </w:p>
    <w:p w14:paraId="37678F5F" w14:textId="0AC1DC0C" w:rsidR="003225DE" w:rsidRPr="00CB5B97" w:rsidRDefault="003225DE" w:rsidP="003225DE">
      <w:pPr>
        <w:tabs>
          <w:tab w:val="left" w:pos="709"/>
        </w:tabs>
        <w:ind w:left="227"/>
        <w:jc w:val="both"/>
        <w:rPr>
          <w:rFonts w:eastAsia="Times"/>
        </w:rPr>
      </w:pPr>
      <w:r w:rsidRPr="00CB5B97">
        <w:rPr>
          <w:rFonts w:eastAsia="Times"/>
        </w:rPr>
        <w:t>[2</w:t>
      </w:r>
      <w:r w:rsidR="004207BC" w:rsidRPr="00CB5B97">
        <w:rPr>
          <w:rFonts w:eastAsia="Times"/>
        </w:rPr>
        <w:t>3</w:t>
      </w:r>
      <w:r w:rsidRPr="00CB5B97">
        <w:rPr>
          <w:rFonts w:eastAsia="Times"/>
        </w:rPr>
        <w:t>][2</w:t>
      </w:r>
      <w:r w:rsidR="004207BC" w:rsidRPr="00CB5B97">
        <w:rPr>
          <w:rFonts w:eastAsia="Times"/>
        </w:rPr>
        <w:t>5</w:t>
      </w:r>
      <w:r w:rsidRPr="00CB5B97">
        <w:rPr>
          <w:rFonts w:eastAsia="Times"/>
        </w:rPr>
        <w:t>] Crocker, L. M., &amp; Algina, J. Introduction to Classical and Modern Test Theory. Cengage Learning.</w:t>
      </w:r>
      <w:r w:rsidR="00D354BD" w:rsidRPr="00CB5B97">
        <w:rPr>
          <w:rFonts w:eastAsia="Times"/>
        </w:rPr>
        <w:t xml:space="preserve"> (2006)</w:t>
      </w:r>
    </w:p>
    <w:p w14:paraId="1AF4115F" w14:textId="56BD634C" w:rsidR="003225DE" w:rsidRPr="00CB5B97" w:rsidRDefault="003225DE" w:rsidP="003225DE">
      <w:pPr>
        <w:tabs>
          <w:tab w:val="left" w:pos="709"/>
        </w:tabs>
        <w:ind w:left="227"/>
        <w:jc w:val="both"/>
        <w:rPr>
          <w:rFonts w:eastAsia="Times"/>
        </w:rPr>
      </w:pPr>
      <w:r w:rsidRPr="00CB5B97">
        <w:rPr>
          <w:rFonts w:eastAsia="Times"/>
        </w:rPr>
        <w:t>[2</w:t>
      </w:r>
      <w:r w:rsidR="004207BC" w:rsidRPr="00CB5B97">
        <w:rPr>
          <w:rFonts w:eastAsia="Times"/>
        </w:rPr>
        <w:t>4</w:t>
      </w:r>
      <w:r w:rsidRPr="00CB5B97">
        <w:rPr>
          <w:rFonts w:eastAsia="Times"/>
        </w:rPr>
        <w:t>][2</w:t>
      </w:r>
      <w:r w:rsidR="004207BC" w:rsidRPr="00CB5B97">
        <w:rPr>
          <w:rFonts w:eastAsia="Times"/>
        </w:rPr>
        <w:t>6</w:t>
      </w:r>
      <w:r w:rsidRPr="00CB5B97">
        <w:rPr>
          <w:rFonts w:eastAsia="Times"/>
        </w:rPr>
        <w:t>]</w:t>
      </w:r>
      <w:r w:rsidR="004207BC" w:rsidRPr="00CB5B97">
        <w:rPr>
          <w:rFonts w:eastAsia="Times"/>
        </w:rPr>
        <w:t>[29]</w:t>
      </w:r>
      <w:r w:rsidRPr="00CB5B97">
        <w:rPr>
          <w:rFonts w:eastAsia="Times"/>
        </w:rPr>
        <w:t xml:space="preserve"> Allen, M. J., &amp; Yen, W. M. Introduction to Measurement Theory. Wadsworth Pub Co</w:t>
      </w:r>
      <w:r w:rsidR="00D354BD" w:rsidRPr="00CB5B97">
        <w:rPr>
          <w:rFonts w:eastAsia="Times"/>
        </w:rPr>
        <w:t xml:space="preserve"> (1979)</w:t>
      </w:r>
    </w:p>
    <w:p w14:paraId="204B2588" w14:textId="35E59E72" w:rsidR="003225DE" w:rsidRPr="003225DE" w:rsidRDefault="003225DE" w:rsidP="003225DE">
      <w:pPr>
        <w:tabs>
          <w:tab w:val="left" w:pos="709"/>
        </w:tabs>
        <w:ind w:left="227"/>
        <w:jc w:val="both"/>
        <w:rPr>
          <w:rFonts w:eastAsia="Times"/>
        </w:rPr>
      </w:pPr>
      <w:r w:rsidRPr="003225DE">
        <w:rPr>
          <w:rFonts w:eastAsia="Times"/>
        </w:rPr>
        <w:lastRenderedPageBreak/>
        <w:t>[2</w:t>
      </w:r>
      <w:r w:rsidR="004207BC">
        <w:rPr>
          <w:rFonts w:eastAsia="Times"/>
        </w:rPr>
        <w:t>7</w:t>
      </w:r>
      <w:r w:rsidRPr="003225DE">
        <w:rPr>
          <w:rFonts w:eastAsia="Times"/>
        </w:rPr>
        <w:t>] Willson, V., Livingston, R.B., Reynold, C.</w:t>
      </w:r>
      <w:r w:rsidR="00D354BD">
        <w:rPr>
          <w:rFonts w:eastAsia="Times"/>
        </w:rPr>
        <w:t xml:space="preserve">, </w:t>
      </w:r>
      <w:r w:rsidRPr="003225DE">
        <w:rPr>
          <w:rFonts w:eastAsia="Times"/>
        </w:rPr>
        <w:t>Measurement and assessment in education. Wasington, DC: Pearson</w:t>
      </w:r>
      <w:r w:rsidR="00D354BD">
        <w:rPr>
          <w:rFonts w:eastAsia="Times"/>
        </w:rPr>
        <w:t xml:space="preserve"> </w:t>
      </w:r>
      <w:r w:rsidR="00D354BD" w:rsidRPr="003225DE">
        <w:rPr>
          <w:rFonts w:eastAsia="Times"/>
        </w:rPr>
        <w:t>(2008).</w:t>
      </w:r>
    </w:p>
    <w:p w14:paraId="7DEB98D6" w14:textId="61B81EFF" w:rsidR="003225DE" w:rsidRPr="003225DE" w:rsidRDefault="003225DE" w:rsidP="003225DE">
      <w:pPr>
        <w:tabs>
          <w:tab w:val="left" w:pos="709"/>
        </w:tabs>
        <w:ind w:left="227"/>
        <w:jc w:val="both"/>
        <w:rPr>
          <w:rFonts w:eastAsia="Times"/>
        </w:rPr>
      </w:pPr>
      <w:r>
        <w:rPr>
          <w:rFonts w:eastAsia="Times"/>
        </w:rPr>
        <w:t>[2</w:t>
      </w:r>
      <w:r w:rsidR="004207BC">
        <w:rPr>
          <w:rFonts w:eastAsia="Times"/>
        </w:rPr>
        <w:t>8</w:t>
      </w:r>
      <w:r>
        <w:rPr>
          <w:rFonts w:eastAsia="Times"/>
        </w:rPr>
        <w:t xml:space="preserve">] </w:t>
      </w:r>
      <w:r w:rsidRPr="003225DE">
        <w:rPr>
          <w:rFonts w:eastAsia="Times"/>
        </w:rPr>
        <w:t xml:space="preserve">Tapia, M., &amp; Marsh G. An Instrument to Measure Mathematics Attitudes. </w:t>
      </w:r>
      <w:hyperlink r:id="rId16" w:history="1">
        <w:r w:rsidRPr="003225DE">
          <w:t>mtaphia@berry.edu</w:t>
        </w:r>
      </w:hyperlink>
      <w:r w:rsidRPr="003225DE">
        <w:rPr>
          <w:rFonts w:eastAsia="Times"/>
        </w:rPr>
        <w:t xml:space="preserve"> and </w:t>
      </w:r>
      <w:hyperlink r:id="rId17" w:history="1">
        <w:r w:rsidRPr="003225DE">
          <w:t>gemarsh@che.ua.edu</w:t>
        </w:r>
      </w:hyperlink>
      <w:r w:rsidRPr="003225DE">
        <w:rPr>
          <w:rFonts w:eastAsia="Times"/>
        </w:rPr>
        <w:t>. Berry College and University of Alabama.</w:t>
      </w:r>
      <w:r w:rsidR="00D354BD">
        <w:rPr>
          <w:rFonts w:eastAsia="Times"/>
        </w:rPr>
        <w:t xml:space="preserve"> </w:t>
      </w:r>
      <w:r w:rsidR="00D354BD" w:rsidRPr="003225DE">
        <w:rPr>
          <w:rFonts w:eastAsia="Times"/>
        </w:rPr>
        <w:t>(2007)</w:t>
      </w:r>
    </w:p>
    <w:p w14:paraId="5253400E" w14:textId="5F97D2C4" w:rsidR="003225DE" w:rsidRPr="003225DE" w:rsidRDefault="003225DE" w:rsidP="003225DE">
      <w:pPr>
        <w:tabs>
          <w:tab w:val="left" w:pos="709"/>
        </w:tabs>
        <w:ind w:left="227"/>
        <w:jc w:val="both"/>
        <w:rPr>
          <w:rFonts w:eastAsia="Times"/>
        </w:rPr>
      </w:pPr>
      <w:r>
        <w:rPr>
          <w:rFonts w:eastAsia="Times"/>
        </w:rPr>
        <w:t>[</w:t>
      </w:r>
      <w:r w:rsidR="004207BC">
        <w:rPr>
          <w:rFonts w:eastAsia="Times"/>
        </w:rPr>
        <w:t>30</w:t>
      </w:r>
      <w:r>
        <w:rPr>
          <w:rFonts w:eastAsia="Times"/>
        </w:rPr>
        <w:t xml:space="preserve">] </w:t>
      </w:r>
      <w:r w:rsidRPr="003225DE">
        <w:rPr>
          <w:rFonts w:eastAsia="Times"/>
        </w:rPr>
        <w:t>Lickona, T. Educating For Character: How Our Schools Can Teach Respect And Responsibility. Bantam</w:t>
      </w:r>
      <w:r w:rsidR="00D354BD">
        <w:rPr>
          <w:rFonts w:eastAsia="Times"/>
        </w:rPr>
        <w:t xml:space="preserve"> </w:t>
      </w:r>
      <w:r w:rsidR="00D354BD" w:rsidRPr="003225DE">
        <w:rPr>
          <w:rFonts w:eastAsia="Times"/>
        </w:rPr>
        <w:t>(2009).</w:t>
      </w:r>
    </w:p>
    <w:p w14:paraId="5ECD2BBB" w14:textId="274E3C4F" w:rsidR="003225DE" w:rsidRPr="003225DE" w:rsidRDefault="003225DE" w:rsidP="003225DE">
      <w:pPr>
        <w:tabs>
          <w:tab w:val="left" w:pos="709"/>
        </w:tabs>
        <w:ind w:left="227"/>
        <w:jc w:val="both"/>
        <w:rPr>
          <w:rFonts w:eastAsia="Times"/>
        </w:rPr>
      </w:pPr>
      <w:r>
        <w:rPr>
          <w:rFonts w:eastAsia="Times"/>
        </w:rPr>
        <w:t>[</w:t>
      </w:r>
      <w:r w:rsidR="004207BC">
        <w:rPr>
          <w:rFonts w:eastAsia="Times"/>
        </w:rPr>
        <w:t>31</w:t>
      </w:r>
      <w:r>
        <w:rPr>
          <w:rFonts w:eastAsia="Times"/>
        </w:rPr>
        <w:t xml:space="preserve">] </w:t>
      </w:r>
      <w:r w:rsidRPr="003225DE">
        <w:rPr>
          <w:rFonts w:eastAsia="Times"/>
        </w:rPr>
        <w:t>Kartowagiran, &amp; Maddini, H. Evaluation model for Islamic Education Learning in Junior High School and its Significance to Student’s Behviours, American Journal of Eductional research 2015, vol 3, No. 8</w:t>
      </w:r>
      <w:r w:rsidR="00D354BD">
        <w:rPr>
          <w:rFonts w:eastAsia="Times"/>
        </w:rPr>
        <w:t xml:space="preserve"> </w:t>
      </w:r>
      <w:r w:rsidR="00D354BD" w:rsidRPr="003225DE">
        <w:rPr>
          <w:rFonts w:eastAsia="Times"/>
        </w:rPr>
        <w:t>(2015).</w:t>
      </w:r>
    </w:p>
    <w:p w14:paraId="08F5CC75" w14:textId="77777777" w:rsidR="003225DE" w:rsidRDefault="003225DE" w:rsidP="003225DE">
      <w:pPr>
        <w:tabs>
          <w:tab w:val="left" w:pos="709"/>
        </w:tabs>
        <w:ind w:left="227"/>
        <w:jc w:val="both"/>
        <w:rPr>
          <w:rFonts w:eastAsia="Times"/>
        </w:rPr>
      </w:pPr>
    </w:p>
    <w:bookmarkEnd w:id="2"/>
    <w:p w14:paraId="58B14EC4" w14:textId="77777777" w:rsidR="003225DE" w:rsidRPr="00265081" w:rsidRDefault="003225DE" w:rsidP="003225DE">
      <w:pPr>
        <w:tabs>
          <w:tab w:val="left" w:pos="709"/>
        </w:tabs>
        <w:ind w:left="227"/>
        <w:jc w:val="both"/>
        <w:rPr>
          <w:rFonts w:eastAsia="Times"/>
        </w:rPr>
      </w:pPr>
    </w:p>
    <w:p w14:paraId="2527876C" w14:textId="77777777" w:rsidR="003225DE" w:rsidRDefault="003225DE" w:rsidP="003225DE">
      <w:pPr>
        <w:spacing w:before="160" w:line="276" w:lineRule="auto"/>
        <w:contextualSpacing/>
        <w:mirrorIndents/>
        <w:jc w:val="both"/>
        <w:rPr>
          <w:color w:val="auto"/>
          <w:lang w:val="en-AU" w:eastAsia="en-US"/>
        </w:rPr>
      </w:pPr>
    </w:p>
    <w:p w14:paraId="7882EFCE" w14:textId="77777777" w:rsidR="003225DE" w:rsidRPr="007D3C62" w:rsidRDefault="003225DE" w:rsidP="003225DE">
      <w:pPr>
        <w:autoSpaceDE w:val="0"/>
        <w:autoSpaceDN w:val="0"/>
        <w:adjustRightInd w:val="0"/>
        <w:spacing w:before="160"/>
        <w:jc w:val="both"/>
        <w:rPr>
          <w:color w:val="auto"/>
          <w:lang w:val="en-AU" w:eastAsia="en-US"/>
        </w:rPr>
      </w:pPr>
      <w:r w:rsidRPr="007D3C62">
        <w:rPr>
          <w:color w:val="auto"/>
          <w:lang w:val="en-AU" w:eastAsia="en-US"/>
        </w:rPr>
        <w:t xml:space="preserve">. </w:t>
      </w:r>
    </w:p>
    <w:p w14:paraId="492EB969" w14:textId="77777777" w:rsidR="007D3C62" w:rsidRPr="007D3C62" w:rsidRDefault="007D3C62" w:rsidP="007D3C62">
      <w:pPr>
        <w:spacing w:before="120"/>
        <w:jc w:val="both"/>
        <w:rPr>
          <w:color w:val="auto"/>
          <w:lang w:val="tr-TR" w:eastAsia="en-US"/>
        </w:rPr>
      </w:pPr>
    </w:p>
    <w:sectPr w:rsidR="007D3C62" w:rsidRPr="007D3C62" w:rsidSect="00B17912">
      <w:footerReference w:type="default" r:id="rId18"/>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A29A3" w14:textId="77777777" w:rsidR="00037BB0" w:rsidRDefault="00037BB0">
      <w:r>
        <w:separator/>
      </w:r>
    </w:p>
  </w:endnote>
  <w:endnote w:type="continuationSeparator" w:id="0">
    <w:p w14:paraId="6C1D8870" w14:textId="77777777" w:rsidR="00037BB0" w:rsidRDefault="0003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248400"/>
      <w:docPartObj>
        <w:docPartGallery w:val="Page Numbers (Bottom of Page)"/>
        <w:docPartUnique/>
      </w:docPartObj>
    </w:sdtPr>
    <w:sdtEndPr>
      <w:rPr>
        <w:noProof/>
      </w:rPr>
    </w:sdtEndPr>
    <w:sdtContent>
      <w:p w14:paraId="41FB8176" w14:textId="3A72136D" w:rsidR="0005789E" w:rsidRDefault="0005789E">
        <w:pPr>
          <w:pStyle w:val="Footer"/>
          <w:jc w:val="right"/>
        </w:pPr>
        <w:r>
          <w:fldChar w:fldCharType="begin"/>
        </w:r>
        <w:r>
          <w:instrText xml:space="preserve"> PAGE   \* MERGEFORMAT </w:instrText>
        </w:r>
        <w:r>
          <w:fldChar w:fldCharType="separate"/>
        </w:r>
        <w:r w:rsidR="00760D59">
          <w:rPr>
            <w:noProof/>
          </w:rPr>
          <w:t>9</w:t>
        </w:r>
        <w:r>
          <w:rPr>
            <w:noProof/>
          </w:rPr>
          <w:fldChar w:fldCharType="end"/>
        </w:r>
      </w:p>
    </w:sdtContent>
  </w:sdt>
  <w:p w14:paraId="7D88F5F3" w14:textId="77777777" w:rsidR="00274BE6" w:rsidRDefault="00274BE6">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0447" w14:textId="77777777" w:rsidR="00037BB0" w:rsidRDefault="00037BB0">
      <w:r>
        <w:separator/>
      </w:r>
    </w:p>
  </w:footnote>
  <w:footnote w:type="continuationSeparator" w:id="0">
    <w:p w14:paraId="7EC153BF" w14:textId="77777777" w:rsidR="00037BB0" w:rsidRDefault="00037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D2BA1"/>
    <w:multiLevelType w:val="hybridMultilevel"/>
    <w:tmpl w:val="8078EBB8"/>
    <w:lvl w:ilvl="0" w:tplc="E91218F8">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37BB0"/>
    <w:rsid w:val="0005789E"/>
    <w:rsid w:val="001920AD"/>
    <w:rsid w:val="0020523A"/>
    <w:rsid w:val="00265081"/>
    <w:rsid w:val="00266F90"/>
    <w:rsid w:val="00274BE6"/>
    <w:rsid w:val="003225DE"/>
    <w:rsid w:val="003366F7"/>
    <w:rsid w:val="00367F53"/>
    <w:rsid w:val="00376FEF"/>
    <w:rsid w:val="004207BC"/>
    <w:rsid w:val="0042530D"/>
    <w:rsid w:val="00472F54"/>
    <w:rsid w:val="004D0731"/>
    <w:rsid w:val="004F2C4F"/>
    <w:rsid w:val="005139D7"/>
    <w:rsid w:val="00513F54"/>
    <w:rsid w:val="00570052"/>
    <w:rsid w:val="005D0A9B"/>
    <w:rsid w:val="006F477D"/>
    <w:rsid w:val="006F4AED"/>
    <w:rsid w:val="00760D59"/>
    <w:rsid w:val="007952A1"/>
    <w:rsid w:val="007D3C62"/>
    <w:rsid w:val="0080035E"/>
    <w:rsid w:val="008153B4"/>
    <w:rsid w:val="00824D1D"/>
    <w:rsid w:val="009652DB"/>
    <w:rsid w:val="009809A4"/>
    <w:rsid w:val="009857F3"/>
    <w:rsid w:val="009C28D0"/>
    <w:rsid w:val="00A1438B"/>
    <w:rsid w:val="00A224E9"/>
    <w:rsid w:val="00A87C52"/>
    <w:rsid w:val="00AC6A28"/>
    <w:rsid w:val="00B17912"/>
    <w:rsid w:val="00B359FC"/>
    <w:rsid w:val="00BD0F84"/>
    <w:rsid w:val="00BD49FE"/>
    <w:rsid w:val="00C37975"/>
    <w:rsid w:val="00C80D0E"/>
    <w:rsid w:val="00C834CA"/>
    <w:rsid w:val="00CB5B97"/>
    <w:rsid w:val="00CB6B26"/>
    <w:rsid w:val="00CE5B79"/>
    <w:rsid w:val="00D354BD"/>
    <w:rsid w:val="00DA655B"/>
    <w:rsid w:val="00DF2600"/>
    <w:rsid w:val="00E52CCE"/>
    <w:rsid w:val="00E669EA"/>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BF60A3B9-D037-4F62-B768-828D3A05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paragraph" w:customStyle="1" w:styleId="HEPITITLE">
    <w:name w:val="HEPI_TITLE"/>
    <w:basedOn w:val="Normal"/>
    <w:qFormat/>
    <w:rsid w:val="00513F54"/>
    <w:pPr>
      <w:jc w:val="center"/>
    </w:pPr>
    <w:rPr>
      <w:rFonts w:ascii="Garamond" w:eastAsia="Calibri" w:hAnsi="Garamond"/>
      <w:b/>
      <w:color w:val="auto"/>
      <w:sz w:val="24"/>
      <w:szCs w:val="22"/>
      <w:lang w:val="id-ID" w:eastAsia="en-US"/>
    </w:rPr>
  </w:style>
  <w:style w:type="paragraph" w:customStyle="1" w:styleId="HEPIAUTHOR">
    <w:name w:val="HEPI_AUTHOR"/>
    <w:basedOn w:val="HEPITITLE"/>
    <w:qFormat/>
    <w:rsid w:val="00513F54"/>
    <w:pPr>
      <w:spacing w:before="240"/>
    </w:pPr>
    <w:rPr>
      <w:b w:val="0"/>
      <w:i/>
    </w:rPr>
  </w:style>
  <w:style w:type="character" w:styleId="Hyperlink">
    <w:name w:val="Hyperlink"/>
    <w:basedOn w:val="DefaultParagraphFont"/>
    <w:uiPriority w:val="99"/>
    <w:unhideWhenUsed/>
    <w:rsid w:val="00513F54"/>
    <w:rPr>
      <w:color w:val="0563C1" w:themeColor="hyperlink"/>
      <w:u w:val="single"/>
    </w:rPr>
  </w:style>
  <w:style w:type="paragraph" w:styleId="ListParagraph">
    <w:name w:val="List Paragraph"/>
    <w:aliases w:val="Body of text"/>
    <w:basedOn w:val="Normal"/>
    <w:link w:val="ListParagraphChar"/>
    <w:uiPriority w:val="34"/>
    <w:qFormat/>
    <w:rsid w:val="00513F54"/>
    <w:pPr>
      <w:spacing w:after="200" w:line="276" w:lineRule="auto"/>
      <w:ind w:left="720"/>
    </w:pPr>
    <w:rPr>
      <w:rFonts w:ascii="Calibri" w:hAnsi="Calibri"/>
      <w:color w:val="auto"/>
      <w:lang w:val="id-ID" w:eastAsia="en-US"/>
    </w:rPr>
  </w:style>
  <w:style w:type="character" w:customStyle="1" w:styleId="ListParagraphChar">
    <w:name w:val="List Paragraph Char"/>
    <w:aliases w:val="Body of text Char"/>
    <w:link w:val="ListParagraph"/>
    <w:uiPriority w:val="34"/>
    <w:rsid w:val="00513F54"/>
    <w:rPr>
      <w:rFonts w:ascii="Calibri" w:hAnsi="Calibri"/>
      <w:color w:val="auto"/>
      <w:lang w:val="id-ID" w:eastAsia="en-US"/>
    </w:rPr>
  </w:style>
  <w:style w:type="paragraph" w:styleId="BalloonText">
    <w:name w:val="Balloon Text"/>
    <w:basedOn w:val="Normal"/>
    <w:link w:val="BalloonTextChar"/>
    <w:uiPriority w:val="99"/>
    <w:semiHidden/>
    <w:unhideWhenUsed/>
    <w:rsid w:val="007D3C62"/>
    <w:rPr>
      <w:rFonts w:ascii="Tahoma" w:hAnsi="Tahoma" w:cs="Tahoma"/>
      <w:sz w:val="16"/>
      <w:szCs w:val="16"/>
    </w:rPr>
  </w:style>
  <w:style w:type="character" w:customStyle="1" w:styleId="BalloonTextChar">
    <w:name w:val="Balloon Text Char"/>
    <w:basedOn w:val="DefaultParagraphFont"/>
    <w:link w:val="BalloonText"/>
    <w:uiPriority w:val="99"/>
    <w:semiHidden/>
    <w:rsid w:val="007D3C62"/>
    <w:rPr>
      <w:rFonts w:ascii="Tahoma" w:hAnsi="Tahoma" w:cs="Tahoma"/>
      <w:sz w:val="16"/>
      <w:szCs w:val="16"/>
    </w:rPr>
  </w:style>
  <w:style w:type="paragraph" w:styleId="Header">
    <w:name w:val="header"/>
    <w:basedOn w:val="Normal"/>
    <w:link w:val="HeaderChar"/>
    <w:uiPriority w:val="99"/>
    <w:unhideWhenUsed/>
    <w:rsid w:val="0005789E"/>
    <w:pPr>
      <w:tabs>
        <w:tab w:val="center" w:pos="4680"/>
        <w:tab w:val="right" w:pos="9360"/>
      </w:tabs>
    </w:pPr>
  </w:style>
  <w:style w:type="character" w:customStyle="1" w:styleId="HeaderChar">
    <w:name w:val="Header Char"/>
    <w:basedOn w:val="DefaultParagraphFont"/>
    <w:link w:val="Header"/>
    <w:uiPriority w:val="99"/>
    <w:rsid w:val="0005789E"/>
  </w:style>
  <w:style w:type="paragraph" w:styleId="Footer">
    <w:name w:val="footer"/>
    <w:basedOn w:val="Normal"/>
    <w:link w:val="FooterChar"/>
    <w:uiPriority w:val="99"/>
    <w:unhideWhenUsed/>
    <w:rsid w:val="0005789E"/>
    <w:pPr>
      <w:tabs>
        <w:tab w:val="center" w:pos="4680"/>
        <w:tab w:val="right" w:pos="9360"/>
      </w:tabs>
    </w:pPr>
  </w:style>
  <w:style w:type="character" w:customStyle="1" w:styleId="FooterChar">
    <w:name w:val="Footer Char"/>
    <w:basedOn w:val="DefaultParagraphFont"/>
    <w:link w:val="Footer"/>
    <w:uiPriority w:val="99"/>
    <w:rsid w:val="0005789E"/>
  </w:style>
  <w:style w:type="character" w:customStyle="1" w:styleId="UnresolvedMention">
    <w:name w:val="Unresolved Mention"/>
    <w:basedOn w:val="DefaultParagraphFont"/>
    <w:uiPriority w:val="99"/>
    <w:semiHidden/>
    <w:unhideWhenUsed/>
    <w:rsid w:val="0032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owagiran@uny.ac.id" TargetMode="External"/><Relationship Id="rId13" Type="http://schemas.openxmlformats.org/officeDocument/2006/relationships/hyperlink" Target="mailto:lukman.laliyo@ung.ac.i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ijono61@unesa.ac.id" TargetMode="External"/><Relationship Id="rId17" Type="http://schemas.openxmlformats.org/officeDocument/2006/relationships/hyperlink" Target="mailto:gemarsh@che.ua.edu" TargetMode="External"/><Relationship Id="rId2" Type="http://schemas.openxmlformats.org/officeDocument/2006/relationships/numbering" Target="numbering.xml"/><Relationship Id="rId16" Type="http://schemas.openxmlformats.org/officeDocument/2006/relationships/hyperlink" Target="mailto:mtaphia@berry.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an@upi.edu" TargetMode="External"/><Relationship Id="rId5" Type="http://schemas.openxmlformats.org/officeDocument/2006/relationships/webSettings" Target="webSettings.xml"/><Relationship Id="rId15" Type="http://schemas.openxmlformats.org/officeDocument/2006/relationships/hyperlink" Target="https://psycnet.apa.org/doi/10.1037/0022-3514.51.2.277" TargetMode="External"/><Relationship Id="rId10" Type="http://schemas.openxmlformats.org/officeDocument/2006/relationships/hyperlink" Target="mailto:syukrulhamdi@uny.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yanta@uny.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BBF7-42C8-484D-B9A1-CFB61164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Windows User</cp:lastModifiedBy>
  <cp:revision>16</cp:revision>
  <cp:lastPrinted>2020-06-29T13:11:00Z</cp:lastPrinted>
  <dcterms:created xsi:type="dcterms:W3CDTF">2020-08-10T04:50:00Z</dcterms:created>
  <dcterms:modified xsi:type="dcterms:W3CDTF">2020-08-17T02:52:00Z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