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EAAB79D" w14:textId="44D27BED" w:rsidR="00274BE6" w:rsidRPr="00E80E61" w:rsidRDefault="006D2813" w:rsidP="00E80E61">
      <w:pPr>
        <w:keepNext/>
        <w:keepLines/>
        <w:tabs>
          <w:tab w:val="left" w:pos="284"/>
        </w:tabs>
        <w:spacing w:after="460"/>
        <w:jc w:val="center"/>
        <w:rPr>
          <w:rFonts w:eastAsia="Times"/>
          <w:b/>
          <w:sz w:val="32"/>
          <w:szCs w:val="32"/>
          <w:lang w:val="id-ID"/>
        </w:rPr>
      </w:pPr>
      <w:r>
        <w:rPr>
          <w:b/>
          <w:sz w:val="32"/>
          <w:szCs w:val="32"/>
          <w:lang w:val="id-ID"/>
        </w:rPr>
        <w:t>The Use of Internet and Social Media for Tax Information Seeking Among Indonesian Taxpayers During COVID-19 Pandemic</w:t>
      </w:r>
    </w:p>
    <w:p w14:paraId="3652C52C" w14:textId="699D19C3" w:rsidR="00274BE6" w:rsidRPr="006D2813" w:rsidRDefault="00E80E61" w:rsidP="00C84E8B">
      <w:pPr>
        <w:jc w:val="center"/>
        <w:rPr>
          <w:b/>
          <w:vertAlign w:val="superscript"/>
          <w:lang w:val="id-ID"/>
        </w:rPr>
      </w:pPr>
      <w:r w:rsidRPr="006D2813">
        <w:rPr>
          <w:rFonts w:eastAsia="Times"/>
          <w:b/>
          <w:lang w:val="id-ID"/>
        </w:rPr>
        <w:t>Santi Maria Indah Setyawati</w:t>
      </w:r>
      <w:r w:rsidRPr="006D2813">
        <w:rPr>
          <w:rFonts w:eastAsia="Times"/>
          <w:b/>
          <w:vertAlign w:val="superscript"/>
          <w:lang w:val="id-ID"/>
        </w:rPr>
        <w:t>1</w:t>
      </w:r>
      <w:r w:rsidR="008153B4" w:rsidRPr="006D2813">
        <w:rPr>
          <w:rFonts w:eastAsia="Times"/>
          <w:b/>
        </w:rPr>
        <w:t xml:space="preserve">, </w:t>
      </w:r>
      <w:r w:rsidRPr="006D2813">
        <w:rPr>
          <w:rFonts w:eastAsia="Times"/>
          <w:b/>
          <w:lang w:val="id-ID"/>
        </w:rPr>
        <w:t>Andre Novie Rahmanto</w:t>
      </w:r>
      <w:r w:rsidR="009809A4" w:rsidRPr="006D2813">
        <w:rPr>
          <w:rFonts w:eastAsia="Times"/>
          <w:b/>
          <w:vertAlign w:val="superscript"/>
        </w:rPr>
        <w:t>2</w:t>
      </w:r>
      <w:r w:rsidRPr="006D2813">
        <w:rPr>
          <w:rFonts w:eastAsia="Times"/>
          <w:b/>
        </w:rPr>
        <w:t xml:space="preserve">, </w:t>
      </w:r>
      <w:r w:rsidRPr="006D2813">
        <w:rPr>
          <w:rFonts w:eastAsia="Times"/>
          <w:b/>
          <w:lang w:val="id-ID"/>
        </w:rPr>
        <w:t>Ignatius Agung Satyawan</w:t>
      </w:r>
      <w:r w:rsidRPr="006D2813">
        <w:rPr>
          <w:rFonts w:eastAsia="Times"/>
          <w:b/>
          <w:vertAlign w:val="superscript"/>
          <w:lang w:val="id-ID"/>
        </w:rPr>
        <w:t>3</w:t>
      </w:r>
    </w:p>
    <w:p w14:paraId="7ECF31CB" w14:textId="77777777" w:rsidR="006D2813" w:rsidRDefault="006D2813" w:rsidP="00C84E8B">
      <w:pPr>
        <w:pStyle w:val="Standard"/>
        <w:jc w:val="center"/>
      </w:pPr>
      <w:r>
        <w:rPr>
          <w:rFonts w:ascii="Times New Roman" w:eastAsia="Times" w:hAnsi="Times New Roman" w:cs="Times New Roman"/>
          <w:color w:val="000000"/>
          <w:sz w:val="18"/>
          <w:szCs w:val="18"/>
          <w:lang w:val="id-ID" w:eastAsia="sk-SK"/>
        </w:rPr>
        <w:t>santimaria.is@</w:t>
      </w:r>
      <w:r>
        <w:rPr>
          <w:rFonts w:ascii="Times New Roman" w:eastAsia="Times" w:hAnsi="Times New Roman" w:cs="Times New Roman"/>
          <w:color w:val="000000"/>
          <w:sz w:val="18"/>
          <w:szCs w:val="18"/>
          <w:lang w:val="sk-SK" w:eastAsia="sk-SK"/>
        </w:rPr>
        <w:t>student.uns.ac.id</w:t>
      </w:r>
      <w:r>
        <w:rPr>
          <w:rFonts w:ascii="Times New Roman" w:eastAsia="Times" w:hAnsi="Times New Roman" w:cs="Times New Roman"/>
          <w:color w:val="000000"/>
          <w:sz w:val="18"/>
          <w:szCs w:val="18"/>
          <w:vertAlign w:val="superscript"/>
          <w:lang w:val="sk-SK" w:eastAsia="sk-SK"/>
        </w:rPr>
        <w:t>1</w:t>
      </w:r>
      <w:r>
        <w:rPr>
          <w:rFonts w:ascii="Times New Roman" w:eastAsia="Times" w:hAnsi="Times New Roman" w:cs="Times New Roman"/>
          <w:color w:val="000000"/>
          <w:sz w:val="18"/>
          <w:szCs w:val="18"/>
          <w:lang w:val="sk-SK" w:eastAsia="sk-SK"/>
        </w:rPr>
        <w:t>, andreyuda@gmail.com</w:t>
      </w:r>
      <w:r>
        <w:rPr>
          <w:rFonts w:ascii="Times New Roman" w:eastAsia="Times" w:hAnsi="Times New Roman" w:cs="Times New Roman"/>
          <w:color w:val="000000"/>
          <w:sz w:val="18"/>
          <w:szCs w:val="18"/>
          <w:vertAlign w:val="superscript"/>
          <w:lang w:val="sk-SK" w:eastAsia="sk-SK"/>
        </w:rPr>
        <w:t>2</w:t>
      </w:r>
      <w:r>
        <w:rPr>
          <w:rFonts w:ascii="Times New Roman" w:eastAsia="Times" w:hAnsi="Times New Roman" w:cs="Times New Roman"/>
          <w:color w:val="000000"/>
          <w:sz w:val="18"/>
          <w:szCs w:val="18"/>
          <w:lang w:val="sk-SK" w:eastAsia="sk-SK"/>
        </w:rPr>
        <w:t xml:space="preserve">, </w:t>
      </w:r>
      <w:r>
        <w:rPr>
          <w:rFonts w:ascii="Times New Roman" w:eastAsia="Times" w:hAnsi="Times New Roman" w:cs="Times New Roman"/>
          <w:color w:val="000000"/>
          <w:sz w:val="18"/>
          <w:szCs w:val="18"/>
          <w:lang w:val="id-ID" w:eastAsia="sk-SK"/>
        </w:rPr>
        <w:t>agungsatyawan</w:t>
      </w:r>
      <w:r>
        <w:rPr>
          <w:rFonts w:ascii="Times New Roman" w:eastAsia="Times" w:hAnsi="Times New Roman" w:cs="Times New Roman"/>
          <w:color w:val="000000"/>
          <w:sz w:val="18"/>
          <w:szCs w:val="18"/>
          <w:lang w:val="sk-SK" w:eastAsia="sk-SK"/>
        </w:rPr>
        <w:t>@staff.uns.ac.id</w:t>
      </w:r>
      <w:r>
        <w:rPr>
          <w:rFonts w:ascii="Times New Roman" w:eastAsia="Times" w:hAnsi="Times New Roman" w:cs="Times New Roman"/>
          <w:color w:val="000000"/>
          <w:sz w:val="18"/>
          <w:szCs w:val="18"/>
          <w:vertAlign w:val="superscript"/>
          <w:lang w:val="sk-SK" w:eastAsia="sk-SK"/>
        </w:rPr>
        <w:t>3</w:t>
      </w:r>
    </w:p>
    <w:p w14:paraId="6DB63CD8" w14:textId="77777777" w:rsidR="006D2813" w:rsidRPr="00554574" w:rsidRDefault="006D2813" w:rsidP="00C84E8B">
      <w:pPr>
        <w:pStyle w:val="Standard"/>
        <w:jc w:val="center"/>
        <w:rPr>
          <w:lang w:val="id-ID"/>
        </w:rPr>
      </w:pPr>
      <w:r>
        <w:rPr>
          <w:rFonts w:ascii="Times New Roman" w:eastAsia="Times" w:hAnsi="Times New Roman" w:cs="Times New Roman"/>
          <w:color w:val="000000"/>
          <w:sz w:val="18"/>
          <w:szCs w:val="18"/>
          <w:lang w:val="sk-SK" w:eastAsia="sk-SK"/>
        </w:rPr>
        <w:t>Magister of Communication Science</w:t>
      </w:r>
      <w:r>
        <w:rPr>
          <w:rFonts w:ascii="Times New Roman" w:eastAsia="Times" w:hAnsi="Times New Roman" w:cs="Times New Roman"/>
          <w:color w:val="000000"/>
          <w:sz w:val="18"/>
          <w:szCs w:val="18"/>
          <w:lang w:val="id-ID" w:eastAsia="sk-SK"/>
        </w:rPr>
        <w:t xml:space="preserve"> Program</w:t>
      </w:r>
      <w:r>
        <w:rPr>
          <w:rFonts w:ascii="Times New Roman" w:eastAsia="Times" w:hAnsi="Times New Roman" w:cs="Times New Roman"/>
          <w:color w:val="000000"/>
          <w:sz w:val="18"/>
          <w:szCs w:val="18"/>
          <w:lang w:val="sk-SK" w:eastAsia="sk-SK"/>
        </w:rPr>
        <w:t>, Sebelas Maret University, Surakarta, Indonesia</w:t>
      </w:r>
      <w:r>
        <w:rPr>
          <w:rFonts w:ascii="Times New Roman" w:eastAsia="Times" w:hAnsi="Times New Roman" w:cs="Times New Roman"/>
          <w:color w:val="000000"/>
          <w:sz w:val="18"/>
          <w:szCs w:val="18"/>
          <w:vertAlign w:val="superscript"/>
          <w:lang w:val="sk-SK" w:eastAsia="sk-SK"/>
        </w:rPr>
        <w:t>1</w:t>
      </w:r>
      <w:r>
        <w:rPr>
          <w:rFonts w:ascii="Times New Roman" w:eastAsia="Times" w:hAnsi="Times New Roman" w:cs="Times New Roman"/>
          <w:color w:val="000000"/>
          <w:sz w:val="18"/>
          <w:szCs w:val="18"/>
          <w:vertAlign w:val="superscript"/>
          <w:lang w:val="id-ID" w:eastAsia="sk-SK"/>
        </w:rPr>
        <w:t>23</w:t>
      </w:r>
    </w:p>
    <w:p w14:paraId="50075C1A" w14:textId="3A601D60" w:rsidR="00BD1B15" w:rsidRPr="00BD1B15" w:rsidRDefault="006D2813" w:rsidP="00BD1B15">
      <w:pPr>
        <w:spacing w:before="400" w:after="120"/>
        <w:ind w:left="567" w:right="567"/>
        <w:jc w:val="both"/>
        <w:rPr>
          <w:rFonts w:eastAsia="Times"/>
          <w:sz w:val="18"/>
          <w:szCs w:val="18"/>
        </w:rPr>
      </w:pPr>
      <w:r>
        <w:rPr>
          <w:rFonts w:eastAsia="Times"/>
          <w:b/>
          <w:sz w:val="18"/>
          <w:szCs w:val="18"/>
          <w:lang w:val="id-ID"/>
        </w:rPr>
        <w:t>A</w:t>
      </w:r>
      <w:r w:rsidR="008153B4" w:rsidRPr="0042530D">
        <w:rPr>
          <w:rFonts w:eastAsia="Times"/>
          <w:b/>
          <w:sz w:val="18"/>
          <w:szCs w:val="18"/>
        </w:rPr>
        <w:t>bstract.</w:t>
      </w:r>
      <w:r w:rsidR="008153B4" w:rsidRPr="0042530D">
        <w:rPr>
          <w:rFonts w:eastAsia="Times"/>
          <w:sz w:val="18"/>
          <w:szCs w:val="18"/>
        </w:rPr>
        <w:t xml:space="preserve"> </w:t>
      </w:r>
      <w:r w:rsidR="00BD1B15" w:rsidRPr="00BD1B15">
        <w:rPr>
          <w:rFonts w:eastAsia="Times"/>
          <w:sz w:val="18"/>
          <w:szCs w:val="18"/>
        </w:rPr>
        <w:t xml:space="preserve">Because of the physical limitation </w:t>
      </w:r>
      <w:r w:rsidR="00CC7C14">
        <w:rPr>
          <w:rFonts w:eastAsia="Times"/>
          <w:sz w:val="18"/>
          <w:szCs w:val="18"/>
          <w:lang w:val="id-ID"/>
        </w:rPr>
        <w:t>due to</w:t>
      </w:r>
      <w:r w:rsidR="00BD1B15" w:rsidRPr="00BD1B15">
        <w:rPr>
          <w:rFonts w:eastAsia="Times"/>
          <w:sz w:val="18"/>
          <w:szCs w:val="18"/>
        </w:rPr>
        <w:t xml:space="preserve"> the Covid-19 pandemic, the use of the internet</w:t>
      </w:r>
      <w:r w:rsidR="00BD1B15">
        <w:rPr>
          <w:rFonts w:eastAsia="Times"/>
          <w:sz w:val="18"/>
          <w:szCs w:val="18"/>
        </w:rPr>
        <w:t xml:space="preserve"> and social media have become a</w:t>
      </w:r>
      <w:r w:rsidR="00BD1B15">
        <w:rPr>
          <w:rFonts w:eastAsia="Times"/>
          <w:sz w:val="18"/>
          <w:szCs w:val="18"/>
          <w:lang w:val="id-ID"/>
        </w:rPr>
        <w:t xml:space="preserve"> </w:t>
      </w:r>
      <w:r w:rsidR="00BD1B15" w:rsidRPr="00BD1B15">
        <w:rPr>
          <w:rFonts w:eastAsia="Times"/>
          <w:sz w:val="18"/>
          <w:szCs w:val="18"/>
        </w:rPr>
        <w:t xml:space="preserve">viable alternative </w:t>
      </w:r>
      <w:r w:rsidR="00BD1B15">
        <w:rPr>
          <w:rFonts w:eastAsia="Times"/>
          <w:sz w:val="18"/>
          <w:szCs w:val="18"/>
          <w:lang w:val="id-ID"/>
        </w:rPr>
        <w:t>fo</w:t>
      </w:r>
      <w:r w:rsidR="00CC7C14">
        <w:rPr>
          <w:rFonts w:eastAsia="Times"/>
          <w:sz w:val="18"/>
          <w:szCs w:val="18"/>
          <w:lang w:val="id-ID"/>
        </w:rPr>
        <w:t>r tax inf</w:t>
      </w:r>
      <w:r w:rsidR="00BD1B15">
        <w:rPr>
          <w:rFonts w:eastAsia="Times"/>
          <w:sz w:val="18"/>
          <w:szCs w:val="18"/>
          <w:lang w:val="id-ID"/>
        </w:rPr>
        <w:t>o</w:t>
      </w:r>
      <w:r w:rsidR="00CC7C14">
        <w:rPr>
          <w:rFonts w:eastAsia="Times"/>
          <w:sz w:val="18"/>
          <w:szCs w:val="18"/>
          <w:lang w:val="id-ID"/>
        </w:rPr>
        <w:t>r</w:t>
      </w:r>
      <w:r w:rsidR="00BD1B15">
        <w:rPr>
          <w:rFonts w:eastAsia="Times"/>
          <w:sz w:val="18"/>
          <w:szCs w:val="18"/>
          <w:lang w:val="id-ID"/>
        </w:rPr>
        <w:t>mation seeking.</w:t>
      </w:r>
      <w:r w:rsidR="00BD1B15" w:rsidRPr="00BD1B15">
        <w:rPr>
          <w:rFonts w:eastAsia="Times"/>
          <w:sz w:val="18"/>
          <w:szCs w:val="18"/>
        </w:rPr>
        <w:t xml:space="preserve"> This </w:t>
      </w:r>
      <w:r w:rsidR="00CC7C14">
        <w:rPr>
          <w:rFonts w:eastAsia="Times"/>
          <w:sz w:val="18"/>
          <w:szCs w:val="18"/>
          <w:lang w:val="id-ID"/>
        </w:rPr>
        <w:t>study</w:t>
      </w:r>
      <w:r w:rsidR="00BD1B15" w:rsidRPr="00BD1B15">
        <w:rPr>
          <w:rFonts w:eastAsia="Times"/>
          <w:sz w:val="18"/>
          <w:szCs w:val="18"/>
        </w:rPr>
        <w:t xml:space="preserve"> aims to describe the </w:t>
      </w:r>
      <w:r w:rsidR="00CC7C14">
        <w:rPr>
          <w:rFonts w:eastAsia="Times"/>
          <w:sz w:val="18"/>
          <w:szCs w:val="18"/>
          <w:lang w:val="id-ID"/>
        </w:rPr>
        <w:t>use</w:t>
      </w:r>
      <w:r w:rsidR="00BD1B15" w:rsidRPr="00BD1B15">
        <w:rPr>
          <w:rFonts w:eastAsia="Times"/>
          <w:sz w:val="18"/>
          <w:szCs w:val="18"/>
        </w:rPr>
        <w:t xml:space="preserve"> of </w:t>
      </w:r>
      <w:r w:rsidR="002120E2">
        <w:rPr>
          <w:rFonts w:eastAsia="Times"/>
          <w:sz w:val="18"/>
          <w:szCs w:val="18"/>
          <w:lang w:val="id-ID"/>
        </w:rPr>
        <w:t xml:space="preserve">the </w:t>
      </w:r>
      <w:r w:rsidR="00BD1B15" w:rsidRPr="00BD1B15">
        <w:rPr>
          <w:rFonts w:eastAsia="Times"/>
          <w:sz w:val="18"/>
          <w:szCs w:val="18"/>
        </w:rPr>
        <w:t xml:space="preserve">internet and </w:t>
      </w:r>
      <w:r w:rsidR="00CC7C14">
        <w:rPr>
          <w:rFonts w:eastAsia="Times"/>
          <w:sz w:val="18"/>
          <w:szCs w:val="18"/>
          <w:lang w:val="id-ID"/>
        </w:rPr>
        <w:t>social media</w:t>
      </w:r>
      <w:r w:rsidR="00BD1B15" w:rsidRPr="00BD1B15">
        <w:rPr>
          <w:rFonts w:eastAsia="Times"/>
          <w:sz w:val="18"/>
          <w:szCs w:val="18"/>
        </w:rPr>
        <w:t xml:space="preserve"> </w:t>
      </w:r>
      <w:r w:rsidR="002120E2">
        <w:rPr>
          <w:rFonts w:eastAsia="Times"/>
          <w:sz w:val="18"/>
          <w:szCs w:val="18"/>
          <w:lang w:val="id-ID"/>
        </w:rPr>
        <w:t>for tax inform</w:t>
      </w:r>
      <w:r w:rsidR="00CC7C14">
        <w:rPr>
          <w:rFonts w:eastAsia="Times"/>
          <w:sz w:val="18"/>
          <w:szCs w:val="18"/>
          <w:lang w:val="id-ID"/>
        </w:rPr>
        <w:t>ation seeking among individual Taxpayers</w:t>
      </w:r>
      <w:r w:rsidR="00BD1B15" w:rsidRPr="00BD1B15">
        <w:rPr>
          <w:rFonts w:eastAsia="Times"/>
          <w:sz w:val="18"/>
          <w:szCs w:val="18"/>
        </w:rPr>
        <w:t xml:space="preserve"> </w:t>
      </w:r>
      <w:r w:rsidR="00BD1B15">
        <w:rPr>
          <w:rFonts w:eastAsia="Times"/>
          <w:sz w:val="18"/>
          <w:szCs w:val="18"/>
          <w:lang w:val="id-ID"/>
        </w:rPr>
        <w:t>during</w:t>
      </w:r>
      <w:r w:rsidR="00BD1B15">
        <w:rPr>
          <w:rFonts w:eastAsia="Times"/>
          <w:sz w:val="18"/>
          <w:szCs w:val="18"/>
        </w:rPr>
        <w:t xml:space="preserve"> pandemic</w:t>
      </w:r>
      <w:r w:rsidR="00BD1B15" w:rsidRPr="00BD1B15">
        <w:rPr>
          <w:rFonts w:eastAsia="Times"/>
          <w:sz w:val="18"/>
          <w:szCs w:val="18"/>
        </w:rPr>
        <w:t>. From the 202 participants that sampled incidentally in this survey, researchers have found that the Google search engine (97%), Pajak.go.id website (87,1%) and Youtube (49%) was the dominant search engine, website</w:t>
      </w:r>
      <w:r w:rsidR="00CC7C14">
        <w:rPr>
          <w:rFonts w:eastAsia="Times"/>
          <w:sz w:val="18"/>
          <w:szCs w:val="18"/>
        </w:rPr>
        <w:t>, and social media for seeking the</w:t>
      </w:r>
      <w:r w:rsidR="00CC7C14">
        <w:rPr>
          <w:rFonts w:eastAsia="Times"/>
          <w:sz w:val="18"/>
          <w:szCs w:val="18"/>
          <w:lang w:val="id-ID"/>
        </w:rPr>
        <w:t xml:space="preserve"> </w:t>
      </w:r>
      <w:r w:rsidR="00BD1B15">
        <w:rPr>
          <w:rFonts w:eastAsia="Times"/>
          <w:sz w:val="18"/>
          <w:szCs w:val="18"/>
        </w:rPr>
        <w:t>tax</w:t>
      </w:r>
      <w:r w:rsidR="00CC7C14">
        <w:rPr>
          <w:rFonts w:eastAsia="Times"/>
          <w:sz w:val="18"/>
          <w:szCs w:val="18"/>
        </w:rPr>
        <w:t xml:space="preserve"> information</w:t>
      </w:r>
      <w:r w:rsidR="00BD1B15" w:rsidRPr="00BD1B15">
        <w:rPr>
          <w:rFonts w:eastAsia="Times"/>
          <w:sz w:val="18"/>
          <w:szCs w:val="18"/>
        </w:rPr>
        <w:t>. Google appears to be the more appropriate and familiar search engine for the participants. Pajak.go.id was rated more appropriate because it is the official government tax website, and Youtube was dominant because it is rated as more informative. The result of this study can allow some recommendations for tax information p</w:t>
      </w:r>
      <w:r w:rsidR="00BD1B15">
        <w:rPr>
          <w:rFonts w:eastAsia="Times"/>
          <w:sz w:val="18"/>
          <w:szCs w:val="18"/>
        </w:rPr>
        <w:t xml:space="preserve">roviders to provide tax information on the appropriate </w:t>
      </w:r>
      <w:r w:rsidR="00BD1B15" w:rsidRPr="00BD1B15">
        <w:rPr>
          <w:rFonts w:eastAsia="Times"/>
          <w:sz w:val="18"/>
          <w:szCs w:val="18"/>
        </w:rPr>
        <w:t xml:space="preserve">channel to answer </w:t>
      </w:r>
      <w:r w:rsidR="00BD1B15">
        <w:rPr>
          <w:rFonts w:eastAsia="Times"/>
          <w:sz w:val="18"/>
          <w:szCs w:val="18"/>
          <w:lang w:val="id-ID"/>
        </w:rPr>
        <w:t xml:space="preserve">the </w:t>
      </w:r>
      <w:r w:rsidR="00BD1B15" w:rsidRPr="00BD1B15">
        <w:rPr>
          <w:rFonts w:eastAsia="Times"/>
          <w:sz w:val="18"/>
          <w:szCs w:val="18"/>
        </w:rPr>
        <w:t>taxpayer's needs for information.</w:t>
      </w:r>
    </w:p>
    <w:p w14:paraId="641207C4" w14:textId="456532A1" w:rsidR="00274BE6" w:rsidRPr="0042530D" w:rsidRDefault="00BD1B15" w:rsidP="00BD1B15">
      <w:pPr>
        <w:spacing w:before="400" w:after="120"/>
        <w:ind w:left="567" w:right="567"/>
        <w:jc w:val="both"/>
      </w:pPr>
      <w:r w:rsidRPr="00BD1B15">
        <w:rPr>
          <w:rFonts w:eastAsia="Times"/>
          <w:b/>
          <w:sz w:val="18"/>
          <w:szCs w:val="18"/>
        </w:rPr>
        <w:t>Keywords</w:t>
      </w:r>
      <w:r w:rsidRPr="00BD1B15">
        <w:rPr>
          <w:rFonts w:eastAsia="Times"/>
          <w:sz w:val="18"/>
          <w:szCs w:val="18"/>
        </w:rPr>
        <w:t>: Tax Information Seeking, Internet, Social Media, Taxpayers</w:t>
      </w:r>
    </w:p>
    <w:p w14:paraId="5A611252" w14:textId="77777777" w:rsidR="00274BE6" w:rsidRPr="0042530D" w:rsidRDefault="008153B4">
      <w:pPr>
        <w:keepNext/>
        <w:keepLines/>
        <w:tabs>
          <w:tab w:val="left" w:pos="454"/>
        </w:tabs>
        <w:spacing w:before="520" w:after="280"/>
        <w:jc w:val="both"/>
      </w:pPr>
      <w:r w:rsidRPr="0042530D">
        <w:rPr>
          <w:rFonts w:eastAsia="Times"/>
          <w:b/>
          <w:sz w:val="24"/>
          <w:szCs w:val="24"/>
        </w:rPr>
        <w:t>1   Introduction</w:t>
      </w:r>
    </w:p>
    <w:p w14:paraId="6EC3C612" w14:textId="0FE71390" w:rsidR="00431C31" w:rsidRPr="00431C31" w:rsidRDefault="00431C31" w:rsidP="00431C31">
      <w:pPr>
        <w:ind w:firstLine="360"/>
        <w:jc w:val="both"/>
        <w:rPr>
          <w:rFonts w:eastAsia="Times"/>
        </w:rPr>
      </w:pPr>
      <w:r w:rsidRPr="00431C31">
        <w:rPr>
          <w:rFonts w:eastAsia="Times"/>
        </w:rPr>
        <w:t xml:space="preserve">To study the patterns of tax-information seeking in Indonesian taxpayer have always become an interesting subject, especially considering that the tax system Indonesia is utilizing the self-assessment model. In the self-assessment model, the government has given thrust for its society to be responsible for their tax registration, calculation, payment, and reporting their tax due. That degree of trust implies that the government has to assume that the public could understand the tax regulation while also capable to fulfill their tax obligation independently [1]. The behavior of information seeking derived from the need for information [2][3]. The taxpayers need to increase their tax-related knowledge to fulfill their tax obligation will motivate taxpayers </w:t>
      </w:r>
      <w:r w:rsidR="00772799" w:rsidRPr="00772799">
        <w:rPr>
          <w:rFonts w:eastAsia="Times"/>
        </w:rPr>
        <w:t xml:space="preserve">for tax information seeking </w:t>
      </w:r>
      <w:r w:rsidRPr="00431C31">
        <w:rPr>
          <w:rFonts w:eastAsia="Times"/>
        </w:rPr>
        <w:t>[4].</w:t>
      </w:r>
    </w:p>
    <w:p w14:paraId="67928371" w14:textId="34A52EB4" w:rsidR="00431C31" w:rsidRPr="00431C31" w:rsidRDefault="00431C31" w:rsidP="00431C31">
      <w:pPr>
        <w:ind w:firstLine="360"/>
        <w:jc w:val="both"/>
        <w:rPr>
          <w:rFonts w:eastAsia="Times"/>
        </w:rPr>
      </w:pPr>
      <w:r w:rsidRPr="00431C31">
        <w:rPr>
          <w:rFonts w:eastAsia="Times"/>
        </w:rPr>
        <w:t>Before the pandemic, taxpayers can simply visit the Tax Office to ask for information directly, buat the plague have rendered this method unavailable due to the DGT’s (Directorate General of Taxes) decision to stop all face-to-face tax services that were normally accessible from Integrated Service Centre across Indonesia [5]. This closure has occurred from March 16th, 2020, and then extended until June 14th, 2020 [6][7]. The closure has affected how the public seeks information about tax because they cannot see the tax officer directly anymore. Despite that, the public c</w:t>
      </w:r>
      <w:r w:rsidR="00772799">
        <w:rPr>
          <w:rFonts w:eastAsia="Times"/>
        </w:rPr>
        <w:t>an still search for tax</w:t>
      </w:r>
      <w:r w:rsidR="00772799">
        <w:rPr>
          <w:rFonts w:eastAsia="Times"/>
          <w:lang w:val="id-ID"/>
        </w:rPr>
        <w:t xml:space="preserve"> </w:t>
      </w:r>
      <w:r w:rsidRPr="00431C31">
        <w:rPr>
          <w:rFonts w:eastAsia="Times"/>
        </w:rPr>
        <w:t>information indirectly via phone, email, or accessing the internet and social media [8].</w:t>
      </w:r>
    </w:p>
    <w:p w14:paraId="7AC97D42" w14:textId="77777777" w:rsidR="00431C31" w:rsidRPr="00431C31" w:rsidRDefault="00431C31" w:rsidP="00431C31">
      <w:pPr>
        <w:ind w:firstLine="360"/>
        <w:jc w:val="both"/>
        <w:rPr>
          <w:rFonts w:eastAsia="Times"/>
        </w:rPr>
      </w:pPr>
      <w:r w:rsidRPr="00431C31">
        <w:rPr>
          <w:rFonts w:eastAsia="Times"/>
        </w:rPr>
        <w:t xml:space="preserve">In this era of information and technological advancement, the internet and social media have become a digital platform that massively utilized by the public to search for information </w:t>
      </w:r>
      <w:r w:rsidRPr="00431C31">
        <w:rPr>
          <w:rFonts w:eastAsia="Times"/>
        </w:rPr>
        <w:lastRenderedPageBreak/>
        <w:t>[9]. From the data that were collected by We Are Social and Hootsuite in April 2020, it was found that the internet has been used by as high as 59% of the global population, while social media have been used by 49% of the global population [10]. This number has been increased to 64% and 59% respectively by early 2020. These numbers indicated that internet users were increased by 17% compared to the data from 2019, while the social media user was also showing 8,1% growth from 2019 [11]. The availability of internet access facility has been rendering the information searching activity much easier. The society also tends to use social media to seek and distribute information, because the public could utilize social media as a tool to participate productively in the identification of some problems with relatively low cost [12].</w:t>
      </w:r>
    </w:p>
    <w:p w14:paraId="1ED74CCE" w14:textId="77777777" w:rsidR="00431C31" w:rsidRPr="00431C31" w:rsidRDefault="00431C31" w:rsidP="00431C31">
      <w:pPr>
        <w:ind w:firstLine="360"/>
        <w:jc w:val="both"/>
        <w:rPr>
          <w:rFonts w:eastAsia="Times"/>
        </w:rPr>
      </w:pPr>
      <w:r w:rsidRPr="00431C31">
        <w:rPr>
          <w:rFonts w:eastAsia="Times"/>
        </w:rPr>
        <w:t>As one of the government-affiliated providers of public tax information, the DGT created a particular website as a dissemination medium for tax information on www.pajak.go.id [13]. The DGT also manages some social media accounts as an easily-accessible education media for the public. These websites and social media account were one of many of the Indonesian government’s communication and education strategies to increase taxpayer’s tax obedience [14][15][16]. Aside from the official government website, some websites provide tax-informations in their partnership with the government, such as ortax.org, pajak-online.com, pajakku.com, and many more. This implicates that there is enough information on the internet and social media for Indonesian taxpayers to increase their understanding of tax.</w:t>
      </w:r>
    </w:p>
    <w:p w14:paraId="5908AB14" w14:textId="35A6F044" w:rsidR="00A224E9" w:rsidRPr="00570052" w:rsidRDefault="00431C31" w:rsidP="00431C31">
      <w:pPr>
        <w:ind w:firstLine="360"/>
        <w:jc w:val="both"/>
        <w:rPr>
          <w:lang w:val="en-US"/>
        </w:rPr>
      </w:pPr>
      <w:r w:rsidRPr="00431C31">
        <w:rPr>
          <w:rFonts w:eastAsia="Times"/>
        </w:rPr>
        <w:t xml:space="preserve">From those backgrounds, this study aims to fill in the lack of research to study the taxpayer's patterns in their tax-information seeking behavior using the internet and social media during the pandemic period of Covid-19, especially as a result of the temporary closing of the Tax Office services in Indonesia. The result of this study may contribute as a data for the tax-information provider to design a precise communication and dissemination strategies to answer the taxpayer's needs for information, as part of the “New Normal” approach that the Indonesian government employed </w:t>
      </w:r>
      <w:r>
        <w:rPr>
          <w:rFonts w:eastAsia="Times"/>
        </w:rPr>
        <w:t>to face this pandemic situation</w:t>
      </w:r>
      <w:r w:rsidR="006D2813" w:rsidRPr="006D2813">
        <w:rPr>
          <w:rFonts w:eastAsia="Times"/>
        </w:rPr>
        <w:t>.</w:t>
      </w:r>
    </w:p>
    <w:p w14:paraId="3099AD01" w14:textId="1E0077FE" w:rsidR="00274BE6" w:rsidRPr="0042530D" w:rsidRDefault="006D2813">
      <w:pPr>
        <w:keepNext/>
        <w:keepLines/>
        <w:tabs>
          <w:tab w:val="left" w:pos="454"/>
        </w:tabs>
        <w:spacing w:before="520" w:after="280"/>
        <w:jc w:val="both"/>
      </w:pPr>
      <w:r>
        <w:rPr>
          <w:rFonts w:eastAsia="Times"/>
          <w:b/>
          <w:sz w:val="24"/>
          <w:szCs w:val="24"/>
        </w:rPr>
        <w:t>2   Research</w:t>
      </w:r>
      <w:r>
        <w:rPr>
          <w:rFonts w:eastAsia="Times"/>
          <w:b/>
          <w:sz w:val="24"/>
          <w:szCs w:val="24"/>
          <w:lang w:val="id-ID"/>
        </w:rPr>
        <w:t xml:space="preserve"> </w:t>
      </w:r>
      <w:r>
        <w:rPr>
          <w:rFonts w:eastAsia="Times"/>
          <w:b/>
          <w:sz w:val="24"/>
          <w:szCs w:val="24"/>
        </w:rPr>
        <w:t>Method</w:t>
      </w:r>
    </w:p>
    <w:p w14:paraId="5D7E4AC7" w14:textId="77777777" w:rsidR="00166B55" w:rsidRPr="00166B55" w:rsidRDefault="00166B55" w:rsidP="00166B55">
      <w:pPr>
        <w:ind w:firstLine="360"/>
        <w:jc w:val="both"/>
        <w:rPr>
          <w:rFonts w:eastAsia="Times"/>
        </w:rPr>
      </w:pPr>
      <w:r w:rsidRPr="00166B55">
        <w:rPr>
          <w:rFonts w:eastAsia="Times"/>
        </w:rPr>
        <w:t>This study utilizes an online, self-report survey to collect the data about the usage of internet and social media on tax information-seeking behavior during the Covid-19 pandemic in Indonesia. Survey methodology is a research methodology where a questionnaire is utilized as a data-collecting instrument [17]. The deployed questionnaire covers some single and multiple-answer questions about accessed search engine, website, and social media they accessed during their effort to search information about tax, which search engine, website, and social media that they preferred, and why they deem those media to be more appropriate for them. The data was collected from June 20th, 2020 until 13th July 2020.</w:t>
      </w:r>
    </w:p>
    <w:p w14:paraId="60CF56B3" w14:textId="77777777" w:rsidR="00CC7C14" w:rsidRDefault="00166B55" w:rsidP="00FF6CA6">
      <w:pPr>
        <w:ind w:firstLine="360"/>
        <w:jc w:val="both"/>
      </w:pPr>
      <w:r w:rsidRPr="00166B55">
        <w:rPr>
          <w:rFonts w:eastAsia="Times"/>
        </w:rPr>
        <w:t>Subjects on this study were limited to Indonesian Taxpayers that were looking for tax-related information via the internet and social media on the period of the Covid-19 pandemic (from mid-March 2020 until the end of June 2020), where on that period, the closing of the Tax Office and all of its face-to-face services occurred. Considering that the population size of taxpayers that become online information seekers cannot be accurately determined, this study utilized a non-probability sampling method in form of incidental sampling [18]. As the size of samples needed, researchers use the Lemeshow sample formula [19] that operates as follows:</w:t>
      </w:r>
      <w:r w:rsidR="006D2813">
        <w:tab/>
      </w:r>
      <w:r w:rsidR="006D2813">
        <w:tab/>
      </w:r>
      <w:r w:rsidR="006D2813">
        <w:tab/>
      </w:r>
    </w:p>
    <w:p w14:paraId="07C1E455" w14:textId="7162EDBF" w:rsidR="006D2813" w:rsidRDefault="00CC7C14" w:rsidP="00FF6CA6">
      <w:pPr>
        <w:ind w:firstLine="360"/>
        <w:jc w:val="both"/>
      </w:pPr>
      <w:r>
        <w:rPr>
          <w:lang w:val="id-ID"/>
        </w:rPr>
        <w:t xml:space="preserve">                                  </w:t>
      </w:r>
      <w:r w:rsidR="006D2813">
        <w:t xml:space="preserve"> n  = </w:t>
      </w:r>
      <w:r w:rsidR="006D2813" w:rsidRPr="006D2813">
        <w:rPr>
          <w:u w:val="single"/>
        </w:rPr>
        <w:t>Z</w:t>
      </w:r>
      <w:r w:rsidR="006D2813" w:rsidRPr="006D2813">
        <w:rPr>
          <w:u w:val="single"/>
          <w:vertAlign w:val="superscript"/>
        </w:rPr>
        <w:t>2</w:t>
      </w:r>
      <w:r w:rsidR="00684E8D">
        <w:rPr>
          <w:u w:val="single"/>
        </w:rPr>
        <w:t xml:space="preserve"> p (1-p)</w:t>
      </w:r>
      <w:r w:rsidR="006D2813">
        <w:t xml:space="preserve">   </w:t>
      </w:r>
      <w:r w:rsidR="006D2813">
        <w:tab/>
      </w:r>
      <w:r w:rsidR="006D2813">
        <w:tab/>
      </w:r>
      <w:r w:rsidR="006D2813">
        <w:tab/>
      </w:r>
      <w:r w:rsidR="006D2813">
        <w:tab/>
        <w:t xml:space="preserve">      </w:t>
      </w:r>
      <w:r w:rsidR="006D2813">
        <w:tab/>
      </w:r>
      <w:r w:rsidR="006D2813">
        <w:tab/>
      </w:r>
      <w:r>
        <w:rPr>
          <w:lang w:val="id-ID"/>
        </w:rPr>
        <w:t xml:space="preserve">  </w:t>
      </w:r>
      <w:r w:rsidR="006D2813">
        <w:t>(1)</w:t>
      </w:r>
    </w:p>
    <w:p w14:paraId="34614900" w14:textId="76442FD3" w:rsidR="006D2813" w:rsidRDefault="006D2813" w:rsidP="006D2813">
      <w:pPr>
        <w:ind w:firstLine="360"/>
        <w:jc w:val="both"/>
      </w:pPr>
      <w:r>
        <w:t xml:space="preserve">          </w:t>
      </w:r>
      <w:r>
        <w:tab/>
      </w:r>
      <w:r>
        <w:tab/>
        <w:t xml:space="preserve">          </w:t>
      </w:r>
      <w:r>
        <w:rPr>
          <w:lang w:val="id-ID"/>
        </w:rPr>
        <w:t xml:space="preserve"> </w:t>
      </w:r>
      <w:r>
        <w:t xml:space="preserve"> </w:t>
      </w:r>
      <w:r>
        <w:t>d</w:t>
      </w:r>
      <w:r w:rsidRPr="006D2813">
        <w:rPr>
          <w:vertAlign w:val="superscript"/>
        </w:rPr>
        <w:t>2</w:t>
      </w:r>
    </w:p>
    <w:p w14:paraId="419D0C8B" w14:textId="32C0FF63" w:rsidR="006D2813" w:rsidRPr="00CC7C14" w:rsidRDefault="00CC7C14" w:rsidP="00CC7C14">
      <w:pPr>
        <w:jc w:val="both"/>
        <w:rPr>
          <w:lang w:val="id-ID"/>
        </w:rPr>
      </w:pPr>
      <w:r>
        <w:lastRenderedPageBreak/>
        <w:t xml:space="preserve">Where </w:t>
      </w:r>
      <w:r>
        <w:tab/>
        <w:t xml:space="preserve">    </w:t>
      </w:r>
      <w:r w:rsidR="006D2813">
        <w:t>n = minimal sample size required</w:t>
      </w:r>
    </w:p>
    <w:p w14:paraId="40F715F3" w14:textId="27A0439E" w:rsidR="006D2813" w:rsidRDefault="006D2813" w:rsidP="00684E8D">
      <w:pPr>
        <w:ind w:left="567" w:firstLine="360"/>
        <w:jc w:val="both"/>
      </w:pPr>
      <w:r>
        <w:t>Z = z score</w:t>
      </w:r>
    </w:p>
    <w:p w14:paraId="6211E2DE" w14:textId="77777777" w:rsidR="006D2813" w:rsidRDefault="006D2813" w:rsidP="00684E8D">
      <w:pPr>
        <w:ind w:left="567" w:firstLine="360"/>
        <w:jc w:val="both"/>
      </w:pPr>
      <w:r>
        <w:t>p = prevalance outcome</w:t>
      </w:r>
    </w:p>
    <w:p w14:paraId="5316EDAA" w14:textId="272A2EB6" w:rsidR="006D2813" w:rsidRDefault="006D2813" w:rsidP="00684E8D">
      <w:pPr>
        <w:ind w:left="567" w:firstLine="360"/>
        <w:jc w:val="both"/>
      </w:pPr>
      <w:r>
        <w:t>d = distance (percentage points of the true proportion)</w:t>
      </w:r>
    </w:p>
    <w:p w14:paraId="2AD7827C" w14:textId="77777777" w:rsidR="00166B55" w:rsidRPr="00166B55" w:rsidRDefault="00166B55" w:rsidP="00CC7C14">
      <w:pPr>
        <w:jc w:val="both"/>
        <w:rPr>
          <w:rFonts w:eastAsia="Times"/>
        </w:rPr>
      </w:pPr>
      <w:r w:rsidRPr="00166B55">
        <w:rPr>
          <w:rFonts w:eastAsia="Times"/>
        </w:rPr>
        <w:t>Based on the Lemeshow formula, if the resulting estimate is to fall within 10 percentage points of the true proportion with 99% confidence (z score=2,576) and used maximal estimation p=50%, the required minimum sample size is 167 respondent.</w:t>
      </w:r>
    </w:p>
    <w:p w14:paraId="2BD0821D" w14:textId="4B89D7CF" w:rsidR="006D2813" w:rsidRPr="00C25B0C" w:rsidRDefault="00166B55" w:rsidP="00166B55">
      <w:pPr>
        <w:ind w:firstLine="426"/>
        <w:jc w:val="both"/>
        <w:rPr>
          <w:rFonts w:eastAsia="Times"/>
        </w:rPr>
      </w:pPr>
      <w:r w:rsidRPr="00166B55">
        <w:rPr>
          <w:rFonts w:eastAsia="Times"/>
        </w:rPr>
        <w:t>Data analysis was done with the quantitative-descriptive approach to analyze the frequency distribution to describe the patterns of information-seeking behavior performed by Indonesian Taxpayer as the Covid-19 p</w:t>
      </w:r>
      <w:r>
        <w:rPr>
          <w:rFonts w:eastAsia="Times"/>
        </w:rPr>
        <w:t>andemic transpires in Indonesia</w:t>
      </w:r>
      <w:r w:rsidR="006D2813" w:rsidRPr="00C25B0C">
        <w:rPr>
          <w:rFonts w:eastAsia="Times"/>
        </w:rPr>
        <w:t>.</w:t>
      </w:r>
    </w:p>
    <w:p w14:paraId="71DFFD74" w14:textId="5CCB4EDC" w:rsidR="006D2813" w:rsidRPr="006D2813" w:rsidRDefault="006D2813" w:rsidP="006D2813">
      <w:pPr>
        <w:keepNext/>
        <w:keepLines/>
        <w:tabs>
          <w:tab w:val="left" w:pos="454"/>
        </w:tabs>
        <w:spacing w:before="520" w:after="280"/>
        <w:jc w:val="both"/>
        <w:rPr>
          <w:lang w:val="id-ID"/>
        </w:rPr>
      </w:pPr>
      <w:r>
        <w:rPr>
          <w:rFonts w:eastAsia="Times"/>
          <w:b/>
          <w:sz w:val="24"/>
          <w:szCs w:val="24"/>
        </w:rPr>
        <w:t>3   Result and Discus</w:t>
      </w:r>
      <w:r>
        <w:rPr>
          <w:rFonts w:eastAsia="Times"/>
          <w:b/>
          <w:sz w:val="24"/>
          <w:szCs w:val="24"/>
          <w:lang w:val="id-ID"/>
        </w:rPr>
        <w:t>sion</w:t>
      </w:r>
    </w:p>
    <w:p w14:paraId="4DC24CD3" w14:textId="1C52A134" w:rsidR="006D2813" w:rsidRDefault="00B90915" w:rsidP="00C25B0C">
      <w:pPr>
        <w:ind w:firstLine="426"/>
        <w:rPr>
          <w:rFonts w:eastAsia="Times"/>
        </w:rPr>
      </w:pPr>
      <w:r w:rsidRPr="00B90915">
        <w:rPr>
          <w:rFonts w:eastAsia="Times"/>
        </w:rPr>
        <w:t>Of the 457 questionnaires distributed, 209 results in feedback (with a response rate of 45,73%). Out of those 209, 7 of them were not registered as an Indonesian taxpayer, so the researcher drops them and uses 202 respondents as participants of this study</w:t>
      </w:r>
      <w:r w:rsidR="006D2813" w:rsidRPr="006D2813">
        <w:rPr>
          <w:rFonts w:eastAsia="Times"/>
        </w:rPr>
        <w:t>.</w:t>
      </w:r>
    </w:p>
    <w:p w14:paraId="4631696C" w14:textId="4B7B02F7" w:rsidR="006D2813" w:rsidRDefault="006D2813" w:rsidP="00B17912">
      <w:pPr>
        <w:rPr>
          <w:rFonts w:eastAsia="Times"/>
        </w:rPr>
      </w:pPr>
    </w:p>
    <w:p w14:paraId="70C00C3C" w14:textId="58997B58" w:rsidR="00B17912" w:rsidRPr="0042530D" w:rsidRDefault="00B90915" w:rsidP="00B17912">
      <w:pPr>
        <w:rPr>
          <w:rFonts w:eastAsia="Times"/>
          <w:b/>
        </w:rPr>
      </w:pPr>
      <w:r>
        <w:rPr>
          <w:rFonts w:eastAsia="Times"/>
          <w:b/>
        </w:rPr>
        <w:t>3</w:t>
      </w:r>
      <w:r w:rsidR="008153B4" w:rsidRPr="0042530D">
        <w:rPr>
          <w:rFonts w:eastAsia="Times"/>
          <w:b/>
        </w:rPr>
        <w:t xml:space="preserve">.1 </w:t>
      </w:r>
      <w:r w:rsidR="00B17912" w:rsidRPr="0042530D">
        <w:rPr>
          <w:rFonts w:eastAsia="Times"/>
          <w:b/>
        </w:rPr>
        <w:t xml:space="preserve">  </w:t>
      </w:r>
      <w:r w:rsidR="006D2813">
        <w:rPr>
          <w:rFonts w:eastAsia="Times"/>
          <w:b/>
        </w:rPr>
        <w:t xml:space="preserve">Respondent's </w:t>
      </w:r>
      <w:r w:rsidR="00684E8D">
        <w:rPr>
          <w:rFonts w:eastAsia="Times"/>
          <w:b/>
          <w:lang w:val="id-ID"/>
        </w:rPr>
        <w:t>Characteristics</w:t>
      </w:r>
      <w:r w:rsidR="00B17912" w:rsidRPr="0042530D">
        <w:rPr>
          <w:rFonts w:eastAsia="Times"/>
          <w:b/>
        </w:rPr>
        <w:br/>
      </w:r>
    </w:p>
    <w:p w14:paraId="3EB97DF9" w14:textId="3D6E1505" w:rsidR="00C25B0C" w:rsidRDefault="00CD41EB" w:rsidP="00684E8D">
      <w:pPr>
        <w:jc w:val="both"/>
        <w:rPr>
          <w:rFonts w:eastAsia="Times"/>
          <w:lang w:val="id-ID"/>
        </w:rPr>
      </w:pPr>
      <w:r>
        <w:rPr>
          <w:rFonts w:eastAsia="Times"/>
          <w:lang w:val="id-ID"/>
        </w:rPr>
        <w:t>F</w:t>
      </w:r>
      <w:r w:rsidR="006D2813" w:rsidRPr="006D2813">
        <w:rPr>
          <w:rFonts w:eastAsia="Times"/>
        </w:rPr>
        <w:t xml:space="preserve">rom 202 participants, 65,8% of them were male and 34,2% were female with </w:t>
      </w:r>
      <w:r w:rsidR="000A49D4">
        <w:rPr>
          <w:rFonts w:eastAsia="Times"/>
          <w:lang w:val="id-ID"/>
        </w:rPr>
        <w:t xml:space="preserve"> </w:t>
      </w:r>
      <w:r w:rsidR="006D2813" w:rsidRPr="006D2813">
        <w:rPr>
          <w:rFonts w:eastAsia="Times"/>
        </w:rPr>
        <w:t xml:space="preserve">average age of </w:t>
      </w:r>
      <w:r w:rsidR="000A49D4">
        <w:rPr>
          <w:rFonts w:eastAsia="Times"/>
          <w:lang w:val="id-ID"/>
        </w:rPr>
        <w:t xml:space="preserve"> </w:t>
      </w:r>
      <w:r w:rsidR="006D2813" w:rsidRPr="006D2813">
        <w:rPr>
          <w:rFonts w:eastAsia="Times"/>
        </w:rPr>
        <w:t xml:space="preserve">42,8 years old. </w:t>
      </w:r>
      <w:r w:rsidR="000A49D4">
        <w:rPr>
          <w:rFonts w:eastAsia="Times"/>
          <w:lang w:val="id-ID"/>
        </w:rPr>
        <w:t xml:space="preserve"> </w:t>
      </w:r>
      <w:r w:rsidR="006D2813" w:rsidRPr="006D2813">
        <w:rPr>
          <w:rFonts w:eastAsia="Times"/>
        </w:rPr>
        <w:t>Most of them (99,5%) have had a</w:t>
      </w:r>
      <w:r w:rsidR="00C25B0C">
        <w:rPr>
          <w:rFonts w:eastAsia="Times"/>
          <w:lang w:val="id-ID"/>
        </w:rPr>
        <w:t xml:space="preserve"> bachelor/</w:t>
      </w:r>
      <w:r>
        <w:rPr>
          <w:rFonts w:eastAsia="Times"/>
          <w:lang w:val="id-ID"/>
        </w:rPr>
        <w:t xml:space="preserve">master/doctoral education and only </w:t>
      </w:r>
    </w:p>
    <w:p w14:paraId="3A990454" w14:textId="2A128900" w:rsidR="00CD41EB" w:rsidRPr="00C25B0C" w:rsidRDefault="00CD41EB" w:rsidP="00684E8D">
      <w:pPr>
        <w:jc w:val="both"/>
        <w:rPr>
          <w:rFonts w:eastAsia="Times"/>
          <w:lang w:val="id-ID"/>
        </w:rPr>
      </w:pPr>
    </w:p>
    <w:p w14:paraId="60A5115C" w14:textId="241E9493" w:rsidR="00C25B0C" w:rsidRDefault="00324C7A" w:rsidP="00C25B0C">
      <w:pPr>
        <w:ind w:firstLine="227"/>
        <w:jc w:val="center"/>
      </w:pPr>
      <w:r>
        <w:rPr>
          <w:noProof/>
        </w:rPr>
        <w:drawing>
          <wp:anchor distT="0" distB="0" distL="114300" distR="114300" simplePos="0" relativeHeight="251662336" behindDoc="1" locked="0" layoutInCell="1" allowOverlap="1" wp14:anchorId="50ABBD53" wp14:editId="669E7004">
            <wp:simplePos x="0" y="0"/>
            <wp:positionH relativeFrom="margin">
              <wp:posOffset>630495</wp:posOffset>
            </wp:positionH>
            <wp:positionV relativeFrom="paragraph">
              <wp:posOffset>183840</wp:posOffset>
            </wp:positionV>
            <wp:extent cx="3893941" cy="3009014"/>
            <wp:effectExtent l="0" t="0" r="0" b="1270"/>
            <wp:wrapTopAndBottom/>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3897964" cy="3012122"/>
                    </a:xfrm>
                    <a:prstGeom prst="rect">
                      <a:avLst/>
                    </a:prstGeom>
                  </pic:spPr>
                </pic:pic>
              </a:graphicData>
            </a:graphic>
            <wp14:sizeRelH relativeFrom="margin">
              <wp14:pctWidth>0</wp14:pctWidth>
            </wp14:sizeRelH>
            <wp14:sizeRelV relativeFrom="margin">
              <wp14:pctHeight>0</wp14:pctHeight>
            </wp14:sizeRelV>
          </wp:anchor>
        </w:drawing>
      </w:r>
      <w:r w:rsidR="00C25B0C" w:rsidRPr="0042530D">
        <w:rPr>
          <w:rFonts w:eastAsia="Times"/>
          <w:b/>
          <w:sz w:val="18"/>
          <w:szCs w:val="18"/>
        </w:rPr>
        <w:t>Table 1.</w:t>
      </w:r>
      <w:r w:rsidR="00C25B0C">
        <w:rPr>
          <w:rFonts w:eastAsia="Times"/>
          <w:sz w:val="18"/>
          <w:szCs w:val="18"/>
        </w:rPr>
        <w:t xml:space="preserve">  </w:t>
      </w:r>
      <w:r w:rsidR="00C25B0C">
        <w:t>Respondent</w:t>
      </w:r>
      <w:r w:rsidR="00C25B0C">
        <w:rPr>
          <w:lang w:val="id-ID"/>
        </w:rPr>
        <w:t xml:space="preserve">’s </w:t>
      </w:r>
      <w:r w:rsidR="00C25B0C">
        <w:t>Characteristic</w:t>
      </w:r>
    </w:p>
    <w:p w14:paraId="55EFB0E8" w14:textId="36A19AEC" w:rsidR="00C25B0C" w:rsidRDefault="006D2813" w:rsidP="00684E8D">
      <w:pPr>
        <w:jc w:val="both"/>
        <w:rPr>
          <w:rFonts w:eastAsia="Times"/>
        </w:rPr>
      </w:pPr>
      <w:r w:rsidRPr="006D2813">
        <w:rPr>
          <w:rFonts w:eastAsia="Times"/>
        </w:rPr>
        <w:t xml:space="preserve"> </w:t>
      </w:r>
    </w:p>
    <w:p w14:paraId="49F61850" w14:textId="5C5A1CAF" w:rsidR="00C25B0C" w:rsidRDefault="00C25B0C" w:rsidP="00684E8D">
      <w:pPr>
        <w:jc w:val="both"/>
        <w:rPr>
          <w:rFonts w:eastAsia="Times"/>
        </w:rPr>
      </w:pPr>
    </w:p>
    <w:p w14:paraId="1A12A925" w14:textId="40A62267" w:rsidR="00684E8D" w:rsidRDefault="00B90915" w:rsidP="00684E8D">
      <w:pPr>
        <w:jc w:val="both"/>
        <w:rPr>
          <w:rFonts w:eastAsia="Times"/>
        </w:rPr>
      </w:pPr>
      <w:r>
        <w:rPr>
          <w:lang w:val="id-ID"/>
        </w:rPr>
        <w:lastRenderedPageBreak/>
        <w:t>o</w:t>
      </w:r>
      <w:r>
        <w:t>ne of them has a background of high school diplomas. The majority (85,2%)of the participants works as either government civil employee or private employee (for the detail see in </w:t>
      </w:r>
      <w:r w:rsidRPr="00CC7C14">
        <w:rPr>
          <w:rStyle w:val="Strong"/>
          <w:b w:val="0"/>
          <w:color w:val="0E101A"/>
        </w:rPr>
        <w:t>Table 1</w:t>
      </w:r>
      <w:r w:rsidR="00324C7A">
        <w:rPr>
          <w:rFonts w:eastAsia="Times"/>
          <w:lang w:val="id-ID"/>
        </w:rPr>
        <w:t>)</w:t>
      </w:r>
      <w:r w:rsidR="00D7685B">
        <w:rPr>
          <w:rFonts w:eastAsia="Times"/>
          <w:lang w:val="id-ID"/>
        </w:rPr>
        <w:t>.</w:t>
      </w:r>
      <w:r w:rsidR="008153B4" w:rsidRPr="006D2813">
        <w:rPr>
          <w:rFonts w:eastAsia="Times"/>
        </w:rPr>
        <w:t xml:space="preserve"> </w:t>
      </w:r>
    </w:p>
    <w:p w14:paraId="459D5875" w14:textId="5668F3E0" w:rsidR="00274BE6" w:rsidRPr="0042530D" w:rsidRDefault="00274BE6">
      <w:pPr>
        <w:jc w:val="both"/>
      </w:pPr>
    </w:p>
    <w:p w14:paraId="40576AE7" w14:textId="7A949D56" w:rsidR="00B17912" w:rsidRPr="0042530D" w:rsidRDefault="00B90915" w:rsidP="00B17912">
      <w:pPr>
        <w:rPr>
          <w:rFonts w:eastAsia="Times"/>
          <w:b/>
        </w:rPr>
      </w:pPr>
      <w:r>
        <w:rPr>
          <w:rFonts w:eastAsia="Times"/>
          <w:b/>
        </w:rPr>
        <w:t>3</w:t>
      </w:r>
      <w:r w:rsidR="00C25B0C">
        <w:rPr>
          <w:rFonts w:eastAsia="Times"/>
          <w:b/>
        </w:rPr>
        <w:t>.2</w:t>
      </w:r>
      <w:r w:rsidR="008153B4" w:rsidRPr="0042530D">
        <w:rPr>
          <w:rFonts w:eastAsia="Times"/>
          <w:b/>
        </w:rPr>
        <w:t xml:space="preserve"> </w:t>
      </w:r>
      <w:r w:rsidR="008823F3">
        <w:rPr>
          <w:rFonts w:eastAsia="Times"/>
          <w:b/>
        </w:rPr>
        <w:t xml:space="preserve">  Internet and Social Media Use for </w:t>
      </w:r>
      <w:r w:rsidR="008823F3">
        <w:rPr>
          <w:rFonts w:eastAsia="Times"/>
          <w:b/>
          <w:lang w:val="id-ID"/>
        </w:rPr>
        <w:t>T</w:t>
      </w:r>
      <w:r w:rsidR="008823F3">
        <w:rPr>
          <w:rFonts w:eastAsia="Times"/>
          <w:b/>
        </w:rPr>
        <w:t>ax Information S</w:t>
      </w:r>
      <w:r w:rsidR="008823F3" w:rsidRPr="008823F3">
        <w:rPr>
          <w:rFonts w:eastAsia="Times"/>
          <w:b/>
        </w:rPr>
        <w:t>eeking</w:t>
      </w:r>
      <w:r w:rsidR="00B17912" w:rsidRPr="0042530D">
        <w:rPr>
          <w:rFonts w:eastAsia="Times"/>
          <w:b/>
        </w:rPr>
        <w:br/>
      </w:r>
    </w:p>
    <w:p w14:paraId="74ACF70F" w14:textId="77470BD3" w:rsidR="00274BE6" w:rsidRPr="0042530D" w:rsidRDefault="00B90915" w:rsidP="00C25B0C">
      <w:pPr>
        <w:ind w:firstLine="426"/>
        <w:jc w:val="both"/>
        <w:rPr>
          <w:rFonts w:eastAsia="Times"/>
        </w:rPr>
      </w:pPr>
      <w:r w:rsidRPr="00B90915">
        <w:rPr>
          <w:rFonts w:eastAsia="Times"/>
        </w:rPr>
        <w:t>Table 2 presents the survey result for what search engine, website, and social media they were using and which are the most appropriate for them when they search for tax-related information across the internet</w:t>
      </w:r>
      <w:r w:rsidR="008823F3" w:rsidRPr="008823F3">
        <w:rPr>
          <w:rFonts w:eastAsia="Times"/>
        </w:rPr>
        <w:t>.</w:t>
      </w:r>
    </w:p>
    <w:p w14:paraId="3CDE24D5" w14:textId="77777777" w:rsidR="0042530D" w:rsidRDefault="0042530D">
      <w:pPr>
        <w:ind w:firstLine="227"/>
        <w:jc w:val="both"/>
      </w:pPr>
    </w:p>
    <w:p w14:paraId="4CC53DF0" w14:textId="1C8F0DAA" w:rsidR="008823F3" w:rsidRDefault="008823F3" w:rsidP="008823F3">
      <w:pPr>
        <w:ind w:firstLine="227"/>
        <w:jc w:val="center"/>
      </w:pPr>
      <w:r>
        <w:rPr>
          <w:rFonts w:eastAsia="Times"/>
          <w:b/>
          <w:sz w:val="18"/>
          <w:szCs w:val="18"/>
        </w:rPr>
        <w:t>Table 2</w:t>
      </w:r>
      <w:r w:rsidRPr="0042530D">
        <w:rPr>
          <w:rFonts w:eastAsia="Times"/>
          <w:b/>
          <w:sz w:val="18"/>
          <w:szCs w:val="18"/>
        </w:rPr>
        <w:t>.</w:t>
      </w:r>
      <w:r>
        <w:rPr>
          <w:rFonts w:eastAsia="Times"/>
          <w:sz w:val="18"/>
          <w:szCs w:val="18"/>
        </w:rPr>
        <w:t xml:space="preserve">  </w:t>
      </w:r>
      <w:r w:rsidRPr="008823F3">
        <w:t>Internet and Social Media Used for Tax Information Seeking</w:t>
      </w:r>
    </w:p>
    <w:p w14:paraId="1DC5A97D" w14:textId="77777777" w:rsidR="00D53290" w:rsidRDefault="00D53290" w:rsidP="008823F3">
      <w:pPr>
        <w:ind w:firstLine="227"/>
        <w:jc w:val="center"/>
      </w:pPr>
      <w:bookmarkStart w:id="0" w:name="_GoBack"/>
      <w:bookmarkEnd w:id="0"/>
    </w:p>
    <w:p w14:paraId="25FB182E" w14:textId="48B911A4" w:rsidR="008823F3" w:rsidRDefault="00772799">
      <w:pPr>
        <w:ind w:firstLine="227"/>
        <w:jc w:val="both"/>
      </w:pPr>
      <w:r>
        <w:rPr>
          <w:noProof/>
          <w:lang w:val="en-US" w:eastAsia="en-US"/>
        </w:rPr>
        <w:drawing>
          <wp:inline distT="0" distB="0" distL="0" distR="0" wp14:anchorId="7EE68E93" wp14:editId="6DF8A0F9">
            <wp:extent cx="4816849" cy="4805642"/>
            <wp:effectExtent l="0" t="0" r="3175"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16849" cy="4805642"/>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7EE7CD8D" w14:textId="77777777" w:rsidR="00D53290" w:rsidRDefault="00D53290" w:rsidP="008823F3">
      <w:pPr>
        <w:ind w:firstLine="227"/>
        <w:jc w:val="center"/>
        <w:rPr>
          <w:lang w:val="id-ID"/>
        </w:rPr>
      </w:pPr>
    </w:p>
    <w:p w14:paraId="70DD8FB7" w14:textId="5806BE46" w:rsidR="008823F3" w:rsidRPr="008823F3" w:rsidRDefault="00B90915" w:rsidP="008823F3">
      <w:pPr>
        <w:ind w:firstLine="227"/>
        <w:jc w:val="center"/>
        <w:rPr>
          <w:lang w:val="id-ID"/>
        </w:rPr>
      </w:pPr>
      <w:r>
        <w:rPr>
          <w:lang w:val="id-ID"/>
        </w:rPr>
        <w:t>Source</w:t>
      </w:r>
      <w:r w:rsidR="008823F3">
        <w:rPr>
          <w:lang w:val="id-ID"/>
        </w:rPr>
        <w:t>: Primarily data processing</w:t>
      </w:r>
    </w:p>
    <w:p w14:paraId="7EDF496D" w14:textId="77777777" w:rsidR="008823F3" w:rsidRPr="0042530D" w:rsidRDefault="008823F3">
      <w:pPr>
        <w:ind w:firstLine="227"/>
        <w:jc w:val="both"/>
      </w:pPr>
    </w:p>
    <w:p w14:paraId="4E5806CE" w14:textId="77777777" w:rsidR="00B90915" w:rsidRPr="00B90915" w:rsidRDefault="008153B4" w:rsidP="00B90915">
      <w:pPr>
        <w:ind w:firstLine="426"/>
        <w:jc w:val="both"/>
        <w:rPr>
          <w:rFonts w:eastAsia="Times"/>
        </w:rPr>
      </w:pPr>
      <w:r w:rsidRPr="0042530D">
        <w:rPr>
          <w:rFonts w:eastAsia="Times"/>
        </w:rPr>
        <w:lastRenderedPageBreak/>
        <w:t xml:space="preserve"> </w:t>
      </w:r>
      <w:r w:rsidR="00B90915" w:rsidRPr="00B90915">
        <w:rPr>
          <w:rFonts w:eastAsia="Times"/>
        </w:rPr>
        <w:t>Results suggest that Google is the most common (97%) search engine used by participants across all age and gender segmentation, while the website pajak.go.id were absolutely (87,1%) popular website on tax-related information search. Surprisingly, Youtube was rated as the most popular social media to search for tax-related information (which is interesting when we consider that the main feature of Youtube is user-generated videos).</w:t>
      </w:r>
    </w:p>
    <w:p w14:paraId="2209F86F" w14:textId="77777777" w:rsidR="00B90915" w:rsidRPr="00B90915" w:rsidRDefault="00B90915" w:rsidP="00B90915">
      <w:pPr>
        <w:ind w:firstLine="426"/>
        <w:jc w:val="both"/>
        <w:rPr>
          <w:rFonts w:eastAsia="Times"/>
        </w:rPr>
      </w:pPr>
      <w:r w:rsidRPr="00B90915">
        <w:rPr>
          <w:rFonts w:eastAsia="Times"/>
        </w:rPr>
        <w:t>The site Pajak.go.id turns to be the most referenced website for taxpayers. This site has been known as the official government website that provides tax-related information for the general public. Meanwhile, the non-governmental website pajak.com and ortax.org were also accessed quite a lot by our participants (45% and 41,6% respectively).</w:t>
      </w:r>
    </w:p>
    <w:p w14:paraId="738C8DDE" w14:textId="77777777" w:rsidR="00B90915" w:rsidRPr="00B90915" w:rsidRDefault="00B90915" w:rsidP="00B90915">
      <w:pPr>
        <w:ind w:firstLine="426"/>
        <w:jc w:val="both"/>
        <w:rPr>
          <w:rFonts w:eastAsia="Times"/>
        </w:rPr>
      </w:pPr>
      <w:r w:rsidRPr="00B90915">
        <w:rPr>
          <w:rFonts w:eastAsia="Times"/>
        </w:rPr>
        <w:t>Youtube becomes the most accessed social media when our participants seek tax-related information within social media (49%), with more than half of its 49% user belong to the 46-55 age category. Besides Youtube, 39,1% reports that they search for the information they needed using Instagram, with the dominant age of 18-25 years old.</w:t>
      </w:r>
    </w:p>
    <w:p w14:paraId="722B6BCA" w14:textId="77777777" w:rsidR="00B90915" w:rsidRPr="00B90915" w:rsidRDefault="00B90915" w:rsidP="00B90915">
      <w:pPr>
        <w:ind w:firstLine="426"/>
        <w:jc w:val="both"/>
        <w:rPr>
          <w:rFonts w:eastAsia="Times"/>
        </w:rPr>
      </w:pPr>
      <w:r w:rsidRPr="00B90915">
        <w:rPr>
          <w:rFonts w:eastAsia="Times"/>
        </w:rPr>
        <w:t>Google, Pajak.go.id, and Youtube also rated as the most appropriate channel to fulfill they need to search tax-related information on their respective category (Google as a search engine, Pajak.go.id as a website, Youtube as a social media).</w:t>
      </w:r>
    </w:p>
    <w:p w14:paraId="06D32530" w14:textId="77777777" w:rsidR="00B90915" w:rsidRPr="00B90915" w:rsidRDefault="00B90915" w:rsidP="00B90915">
      <w:pPr>
        <w:ind w:firstLine="426"/>
        <w:jc w:val="both"/>
        <w:rPr>
          <w:rFonts w:eastAsia="Times"/>
        </w:rPr>
      </w:pPr>
      <w:r w:rsidRPr="00B90915">
        <w:rPr>
          <w:rFonts w:eastAsia="Times"/>
        </w:rPr>
        <w:t>The results also record different trends among the age and gender groups on the matters of social media preference. Facebook and Youtube are more popular on male participants, whereas Twitter and Instagram are more popular on female participants, especially Instagram that even more popular than Youtube on female respondents (Youtube: 42%, Instagram 50,7%).</w:t>
      </w:r>
    </w:p>
    <w:p w14:paraId="6D465F34" w14:textId="77777777" w:rsidR="00B90915" w:rsidRPr="00B90915" w:rsidRDefault="00B90915" w:rsidP="00B90915">
      <w:pPr>
        <w:ind w:firstLine="426"/>
        <w:jc w:val="both"/>
        <w:rPr>
          <w:rFonts w:eastAsia="Times"/>
        </w:rPr>
      </w:pPr>
      <w:r w:rsidRPr="00B90915">
        <w:rPr>
          <w:rFonts w:eastAsia="Times"/>
        </w:rPr>
        <w:t>Across age group, Instagram becomes less popular along with the increase of age, whereas Facebook and Youtube seem to be stronger along with the increase of age (although in the case of Facebook, this finding was restricted on respondents with the age group of 18-55 years old).</w:t>
      </w:r>
    </w:p>
    <w:p w14:paraId="654B5195" w14:textId="3FBF33A5" w:rsidR="00274BE6" w:rsidRDefault="00B90915" w:rsidP="00B90915">
      <w:pPr>
        <w:ind w:firstLine="426"/>
        <w:jc w:val="both"/>
        <w:rPr>
          <w:rFonts w:eastAsia="Times"/>
        </w:rPr>
      </w:pPr>
      <w:r w:rsidRPr="00B90915">
        <w:rPr>
          <w:rFonts w:eastAsia="Times"/>
        </w:rPr>
        <w:t>The difference of the dominant social media across gender and age group indicating that the social media preference has been influenced by age and gender, which hints at the importance of a good target segmentation and a precise social media channel as a means to provide taxpayer's needs of information.</w:t>
      </w:r>
    </w:p>
    <w:p w14:paraId="252D0E32" w14:textId="77777777" w:rsidR="00B90915" w:rsidRPr="0042530D" w:rsidRDefault="00B90915" w:rsidP="00B90915">
      <w:pPr>
        <w:ind w:firstLine="426"/>
        <w:jc w:val="both"/>
      </w:pPr>
    </w:p>
    <w:p w14:paraId="1585A05E" w14:textId="725863FB" w:rsidR="00B17912" w:rsidRPr="0042530D" w:rsidRDefault="00B90915" w:rsidP="00B17912">
      <w:pPr>
        <w:rPr>
          <w:rFonts w:eastAsia="Times"/>
          <w:b/>
        </w:rPr>
      </w:pPr>
      <w:r>
        <w:rPr>
          <w:rFonts w:eastAsia="Times"/>
          <w:b/>
        </w:rPr>
        <w:t>3</w:t>
      </w:r>
      <w:r w:rsidR="00C25B0C">
        <w:rPr>
          <w:rFonts w:eastAsia="Times"/>
          <w:b/>
        </w:rPr>
        <w:t xml:space="preserve">.3   </w:t>
      </w:r>
      <w:r w:rsidR="00C25B0C" w:rsidRPr="00C25B0C">
        <w:rPr>
          <w:rFonts w:eastAsia="Times"/>
          <w:b/>
        </w:rPr>
        <w:t xml:space="preserve">Respondent's </w:t>
      </w:r>
      <w:r>
        <w:rPr>
          <w:rFonts w:eastAsia="Times"/>
          <w:b/>
          <w:lang w:val="id-ID"/>
        </w:rPr>
        <w:t>R</w:t>
      </w:r>
      <w:r w:rsidR="00C25B0C" w:rsidRPr="00C25B0C">
        <w:rPr>
          <w:rFonts w:eastAsia="Times"/>
          <w:b/>
        </w:rPr>
        <w:t xml:space="preserve">eason for </w:t>
      </w:r>
      <w:r>
        <w:rPr>
          <w:rFonts w:eastAsia="Times"/>
          <w:b/>
        </w:rPr>
        <w:t>the Media P</w:t>
      </w:r>
      <w:r w:rsidR="00C25B0C" w:rsidRPr="00C25B0C">
        <w:rPr>
          <w:rFonts w:eastAsia="Times"/>
          <w:b/>
        </w:rPr>
        <w:t>references</w:t>
      </w:r>
      <w:r w:rsidR="00B17912" w:rsidRPr="0042530D">
        <w:rPr>
          <w:rFonts w:eastAsia="Times"/>
          <w:b/>
        </w:rPr>
        <w:br/>
      </w:r>
    </w:p>
    <w:p w14:paraId="1153ADE6" w14:textId="77777777" w:rsidR="00B90915" w:rsidRPr="00B90915" w:rsidRDefault="00B90915" w:rsidP="00B90915">
      <w:pPr>
        <w:ind w:firstLine="426"/>
        <w:jc w:val="both"/>
        <w:rPr>
          <w:rFonts w:eastAsia="Times"/>
        </w:rPr>
      </w:pPr>
      <w:r w:rsidRPr="00B90915">
        <w:rPr>
          <w:rFonts w:eastAsia="Times"/>
        </w:rPr>
        <w:t>Table 3 presents the reason why participants feel that they are more inclined in using a particular search engine, website, or social media in their effort to search for information. Our survey results indicate that Google has become the most accessed search engine due to its familiarity and user-friendliness. Google also deemed capable to bring up much alternative information. This reason can be understood further when we notify ourselves with search engine characteristics. On internet-based information search, peoples use the search engine as a tool to browse through many information sources spread across the internet, where they become involved on many models of information searching that utilizing keywords input that guides the user to decides on which site to access on the search engine's search result page [20].</w:t>
      </w:r>
    </w:p>
    <w:p w14:paraId="5A73E624" w14:textId="73370FF3" w:rsidR="0007228C" w:rsidRDefault="00B90915" w:rsidP="00B90915">
      <w:pPr>
        <w:ind w:firstLine="426"/>
        <w:jc w:val="both"/>
        <w:rPr>
          <w:rFonts w:eastAsia="Times"/>
        </w:rPr>
      </w:pPr>
      <w:r w:rsidRPr="00B90915">
        <w:rPr>
          <w:rFonts w:eastAsia="Times"/>
        </w:rPr>
        <w:t>The website Pajak.go.id has become the most accessed reference (87,1%) and also the most appropriate (65,8%) for our participants to acquire tax information because of its role as the official government tax website, wherein it also rated as informative and recommended by their peers. Nonetheless, the fact that Pajak.go.id is the official government website explains more (58,4%) about its popularities, indicating the needs of some sort of “official” information in searching for relatively important information such as taxation literature. This finding also indicates that the government has made the right call when they decide to set up the official tax website. The government website also rated as capable of providing the needed information, emphasizing the function of e-knowledge, while also credible [21].</w:t>
      </w:r>
      <w:r w:rsidRPr="00B90915">
        <w:rPr>
          <w:rFonts w:eastAsia="Times"/>
        </w:rPr>
        <w:t xml:space="preserve"> </w:t>
      </w:r>
    </w:p>
    <w:p w14:paraId="226BCF2C" w14:textId="77777777" w:rsidR="00B90915" w:rsidRDefault="00B90915" w:rsidP="00B90915">
      <w:pPr>
        <w:ind w:firstLine="426"/>
        <w:jc w:val="both"/>
        <w:rPr>
          <w:rFonts w:eastAsia="Times"/>
        </w:rPr>
      </w:pPr>
    </w:p>
    <w:p w14:paraId="166665A7" w14:textId="77777777" w:rsidR="00C25B0C" w:rsidRDefault="00C25B0C" w:rsidP="00C25B0C">
      <w:pPr>
        <w:pStyle w:val="ListParagraph"/>
        <w:spacing w:after="0" w:line="276" w:lineRule="auto"/>
        <w:ind w:left="709"/>
        <w:jc w:val="center"/>
        <w:rPr>
          <w:rFonts w:ascii="Times New Roman" w:hAnsi="Times New Roman" w:cs="Times New Roman"/>
          <w:sz w:val="20"/>
          <w:szCs w:val="20"/>
          <w:lang w:val="id-ID"/>
        </w:rPr>
      </w:pPr>
      <w:r w:rsidRPr="00C25B0C">
        <w:rPr>
          <w:rFonts w:ascii="Times New Roman" w:hAnsi="Times New Roman" w:cs="Times New Roman"/>
          <w:b/>
          <w:sz w:val="20"/>
          <w:szCs w:val="20"/>
          <w:lang w:val="id-ID"/>
        </w:rPr>
        <w:t>Tabel 3.</w:t>
      </w:r>
      <w:r>
        <w:rPr>
          <w:rFonts w:ascii="Times New Roman" w:hAnsi="Times New Roman" w:cs="Times New Roman"/>
          <w:sz w:val="20"/>
          <w:szCs w:val="20"/>
          <w:lang w:val="id-ID"/>
        </w:rPr>
        <w:t xml:space="preserve"> The Respondent Reason for Using Preferences Media</w:t>
      </w:r>
    </w:p>
    <w:p w14:paraId="7827FE57" w14:textId="77777777" w:rsidR="00C25B0C" w:rsidRDefault="00C25B0C" w:rsidP="00C25B0C">
      <w:pPr>
        <w:pStyle w:val="ListParagraph"/>
        <w:spacing w:after="0" w:line="276" w:lineRule="auto"/>
        <w:ind w:left="709"/>
        <w:jc w:val="center"/>
        <w:rPr>
          <w:rFonts w:ascii="Times New Roman" w:hAnsi="Times New Roman" w:cs="Times New Roman"/>
          <w:sz w:val="20"/>
          <w:szCs w:val="20"/>
          <w:lang w:val="id-ID"/>
        </w:rPr>
      </w:pPr>
    </w:p>
    <w:p w14:paraId="71568777" w14:textId="77777777" w:rsidR="00C25B0C" w:rsidRDefault="00C25B0C" w:rsidP="00C25B0C">
      <w:pPr>
        <w:pStyle w:val="ListParagraph"/>
        <w:spacing w:after="0" w:line="276" w:lineRule="auto"/>
        <w:ind w:left="0"/>
        <w:jc w:val="both"/>
        <w:rPr>
          <w:rFonts w:ascii="Times New Roman" w:hAnsi="Times New Roman" w:cs="Times New Roman"/>
          <w:b/>
          <w:sz w:val="20"/>
          <w:szCs w:val="20"/>
          <w:lang w:val="id-ID"/>
        </w:rPr>
      </w:pPr>
      <w:r>
        <w:rPr>
          <w:noProof/>
        </w:rPr>
        <w:drawing>
          <wp:inline distT="0" distB="0" distL="0" distR="0" wp14:anchorId="1F97CB3B" wp14:editId="38AC8302">
            <wp:extent cx="4805916" cy="5236941"/>
            <wp:effectExtent l="0" t="0" r="0" b="1905"/>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14612" cy="5246417"/>
                    </a:xfrm>
                    <a:prstGeom prst="rect">
                      <a:avLst/>
                    </a:prstGeom>
                    <a:noFill/>
                    <a:extLst/>
                  </pic:spPr>
                </pic:pic>
              </a:graphicData>
            </a:graphic>
          </wp:inline>
        </w:drawing>
      </w:r>
    </w:p>
    <w:p w14:paraId="4D2AA5D0" w14:textId="77777777" w:rsidR="00C25B0C" w:rsidRDefault="00C25B0C" w:rsidP="00C25B0C">
      <w:pPr>
        <w:jc w:val="center"/>
        <w:rPr>
          <w:rFonts w:eastAsia="Times"/>
          <w:lang w:val="id-ID"/>
        </w:rPr>
      </w:pPr>
    </w:p>
    <w:p w14:paraId="415DA408" w14:textId="756EC63B" w:rsidR="00C25B0C" w:rsidRDefault="00C25B0C" w:rsidP="00C25B0C">
      <w:pPr>
        <w:jc w:val="center"/>
        <w:rPr>
          <w:rFonts w:eastAsia="Times"/>
          <w:lang w:val="id-ID"/>
        </w:rPr>
      </w:pPr>
      <w:r>
        <w:rPr>
          <w:rFonts w:eastAsia="Times"/>
          <w:lang w:val="id-ID"/>
        </w:rPr>
        <w:t>Source : Primarily data processing</w:t>
      </w:r>
    </w:p>
    <w:p w14:paraId="31555162" w14:textId="28AFD859" w:rsidR="00C25B0C" w:rsidRDefault="00C25B0C" w:rsidP="00C25B0C">
      <w:pPr>
        <w:jc w:val="both"/>
        <w:rPr>
          <w:rFonts w:eastAsia="Times"/>
        </w:rPr>
      </w:pPr>
    </w:p>
    <w:p w14:paraId="05A25F02" w14:textId="77777777" w:rsidR="00B90915" w:rsidRPr="00B90915" w:rsidRDefault="00B90915" w:rsidP="00B90915">
      <w:pPr>
        <w:ind w:firstLine="426"/>
        <w:jc w:val="both"/>
        <w:rPr>
          <w:rFonts w:eastAsia="Times"/>
        </w:rPr>
      </w:pPr>
      <w:r w:rsidRPr="00B90915">
        <w:rPr>
          <w:rFonts w:eastAsia="Times"/>
        </w:rPr>
        <w:t>As many as 73 Youtube user feels that Youtube was more appropriate for their need. Information provided by Youtube was rated as more understandable and more familiar, which becomes the reason for its popularity on taxpayers/information seeker. This results reinforced by the 2013 study by Prybutok, in which it confirms Youtube as a reference for its users to communicate and educates themselves about health. The use of Youtube as a channel for education and information has been deemed effective before [22].</w:t>
      </w:r>
    </w:p>
    <w:p w14:paraId="41238C45" w14:textId="77777777" w:rsidR="00B90915" w:rsidRPr="00B90915" w:rsidRDefault="00B90915" w:rsidP="00B90915">
      <w:pPr>
        <w:ind w:firstLine="426"/>
        <w:jc w:val="both"/>
        <w:rPr>
          <w:rFonts w:eastAsia="Times"/>
        </w:rPr>
      </w:pPr>
      <w:r w:rsidRPr="00B90915">
        <w:rPr>
          <w:rFonts w:eastAsia="Times"/>
        </w:rPr>
        <w:lastRenderedPageBreak/>
        <w:t>Further investigation upon participant's reason on their preferred media reveals some unique characteristics of why some of those tools were chosen. These patterns of preference can be reviewed deeper using the uses and gratification theory which first developed by Elihu Katz [23]. A user has all the freedom to choose where they will independently which media were more appropriate to fulfill their needs [24][25][26]. Base on this theory, the audience was always an active elector that chooses many media options to fulfill their personal needs [27]. This implicates that the media that were more capable of answering the user's needs will be selected to fulfill the user needs for information.</w:t>
      </w:r>
    </w:p>
    <w:p w14:paraId="0BC903EB" w14:textId="28BEF397" w:rsidR="00B90915" w:rsidRPr="00B90915" w:rsidRDefault="00B90915" w:rsidP="00B90915">
      <w:pPr>
        <w:ind w:firstLine="426"/>
        <w:jc w:val="both"/>
        <w:rPr>
          <w:rFonts w:eastAsia="Times"/>
        </w:rPr>
      </w:pPr>
      <w:r w:rsidRPr="00B90915">
        <w:rPr>
          <w:rFonts w:eastAsia="Times"/>
        </w:rPr>
        <w:t>One of the more unique characteristics of the taxpayer behavior in search of taxation information is the use of the search engine Duckduck.go found in a small fraction of our respondents. Duck duck.go only used by 1% (two participants) of our respondents, but those two respondents similarly express that they trust Duckduck.go could provide them with privacy an</w:t>
      </w:r>
      <w:r w:rsidR="00772799">
        <w:rPr>
          <w:rFonts w:eastAsia="Times"/>
        </w:rPr>
        <w:t>d anonymity when seeking</w:t>
      </w:r>
      <w:r w:rsidRPr="00B90915">
        <w:rPr>
          <w:rFonts w:eastAsia="Times"/>
        </w:rPr>
        <w:t xml:space="preserve"> tax information, indicating the needs to hide their identity while they browse about taxation.</w:t>
      </w:r>
    </w:p>
    <w:p w14:paraId="39A80179" w14:textId="77777777" w:rsidR="00B90915" w:rsidRPr="00B90915" w:rsidRDefault="00B90915" w:rsidP="00B90915">
      <w:pPr>
        <w:ind w:firstLine="426"/>
        <w:jc w:val="both"/>
        <w:rPr>
          <w:rFonts w:eastAsia="Times"/>
        </w:rPr>
      </w:pPr>
      <w:r w:rsidRPr="00B90915">
        <w:rPr>
          <w:rFonts w:eastAsia="Times"/>
        </w:rPr>
        <w:t>The user tendency to seek for the most easy-to-understand while the most appropriate for their needs also found on participants that accessing ddtc.co.id, wibowopajak.com, and efile.com. Participants that accessed these sites are small in number, but they have reasons exclusive on these respective websites. One user of ddtc.co.id was the most updated content with an interface that was easy to use. One user of wibowopajak.com has chosen the website because he feels that the content provided by the website was easy to understand. The sole user of efile.com, on the other hand, prefer this website because the website also provided an online form facility to input his tax form.</w:t>
      </w:r>
    </w:p>
    <w:p w14:paraId="7D4D5426" w14:textId="77777777" w:rsidR="00B90915" w:rsidRPr="00B90915" w:rsidRDefault="00B90915" w:rsidP="00B90915">
      <w:pPr>
        <w:ind w:firstLine="426"/>
        <w:jc w:val="both"/>
        <w:rPr>
          <w:rFonts w:eastAsia="Times"/>
        </w:rPr>
      </w:pPr>
      <w:r w:rsidRPr="00B90915">
        <w:rPr>
          <w:rFonts w:eastAsia="Times"/>
        </w:rPr>
        <w:t>Albeit small in numbers, these unique reasons can lead the participants to independently chose a particular media. The motive behind those decisions was the gratifications they receive when they accessed a certain searching media. These findings were in line with the uses and gratification theory, in which the gratification the user receives determined by the user's characteristics and their belief in the media [28]. One of the reasons that people choose a certain media for their media consumption is to get information as one of potential gratification [29].</w:t>
      </w:r>
    </w:p>
    <w:p w14:paraId="1AA223CD" w14:textId="77777777" w:rsidR="00B90915" w:rsidRPr="00B90915" w:rsidRDefault="00B90915" w:rsidP="00B90915">
      <w:pPr>
        <w:ind w:firstLine="426"/>
        <w:jc w:val="both"/>
        <w:rPr>
          <w:rFonts w:eastAsia="Times"/>
        </w:rPr>
      </w:pPr>
      <w:r w:rsidRPr="00B90915">
        <w:rPr>
          <w:rFonts w:eastAsia="Times"/>
        </w:rPr>
        <w:t>Both the common and more dominant findings and the unique, minor findings of this study could be utilized as a reference for the taxation information provider in understanding the motivation and dynamics behind people's choice in accessing media. The data that conclude which media were more dominant can be harnessed by the taxation information provider to determine which channel would be more relevant for the respondents from a certain demographic category. For example, we can guide the taxation communication and education strategies towards the most optimal media channel based on the main target age of the strategies.</w:t>
      </w:r>
    </w:p>
    <w:p w14:paraId="4265E474" w14:textId="0FBFB85F" w:rsidR="00274BE6" w:rsidRDefault="00B90915" w:rsidP="00B90915">
      <w:pPr>
        <w:ind w:firstLine="426"/>
        <w:jc w:val="both"/>
        <w:rPr>
          <w:rFonts w:eastAsia="Times"/>
        </w:rPr>
      </w:pPr>
      <w:r w:rsidRPr="00B90915">
        <w:rPr>
          <w:rFonts w:eastAsia="Times"/>
        </w:rPr>
        <w:t>Especially for the official government tax organization, these findings are relevant because the availability of precise information that can cater to the taxpayer's needs is an important advocate for taxpayer's tax knowledge. Tax knowledge is one of the key attributes that reflect the taxpayer's tax compliance so it should be enhanced through adequate and accurate providence of taxation information [30]. The availability of adequate, accessible, and well-fitted to the taxpayer's preference will increase the public's tax knowledge what should lead to growth in tax compliance [31]. Moreover, the key performance indicator of DGT is the accomplishment of the targetted rate of tax compliance. The providing of taxation information that oriented on the fulfillment of information needs among taxpayers can become a strategic move for DGT to face the many changes of the “New Normal” period. The DGT should prepare themselves in many dimensions, both on the service as well as their function as tax system educators for the soc</w:t>
      </w:r>
      <w:r>
        <w:rPr>
          <w:rFonts w:eastAsia="Times"/>
        </w:rPr>
        <w:t>iety</w:t>
      </w:r>
      <w:r w:rsidR="00C25B0C" w:rsidRPr="00C25B0C">
        <w:rPr>
          <w:rFonts w:eastAsia="Times"/>
        </w:rPr>
        <w:t>.</w:t>
      </w:r>
    </w:p>
    <w:p w14:paraId="0C377694" w14:textId="4AC3AF6F" w:rsidR="00C25B0C" w:rsidRPr="000A49D4" w:rsidRDefault="000A49D4" w:rsidP="00C25B0C">
      <w:pPr>
        <w:keepNext/>
        <w:keepLines/>
        <w:tabs>
          <w:tab w:val="left" w:pos="454"/>
        </w:tabs>
        <w:spacing w:before="520" w:after="280"/>
        <w:jc w:val="both"/>
        <w:rPr>
          <w:lang w:val="id-ID"/>
        </w:rPr>
      </w:pPr>
      <w:r>
        <w:rPr>
          <w:rFonts w:eastAsia="Times"/>
          <w:b/>
          <w:sz w:val="24"/>
          <w:szCs w:val="24"/>
        </w:rPr>
        <w:lastRenderedPageBreak/>
        <w:t>4   C</w:t>
      </w:r>
      <w:r>
        <w:rPr>
          <w:rFonts w:eastAsia="Times"/>
          <w:b/>
          <w:sz w:val="24"/>
          <w:szCs w:val="24"/>
          <w:lang w:val="id-ID"/>
        </w:rPr>
        <w:t>onclusion</w:t>
      </w:r>
    </w:p>
    <w:p w14:paraId="2B700E00" w14:textId="54D8CF21" w:rsidR="007A12E3" w:rsidRPr="007A12E3" w:rsidRDefault="007A12E3" w:rsidP="007A12E3">
      <w:pPr>
        <w:ind w:firstLine="426"/>
        <w:jc w:val="both"/>
        <w:rPr>
          <w:rFonts w:eastAsia="Times"/>
        </w:rPr>
      </w:pPr>
      <w:r w:rsidRPr="007A12E3">
        <w:rPr>
          <w:rFonts w:eastAsia="Times"/>
        </w:rPr>
        <w:t>Amidst the deprivation of direct information access due to the Covid-19 Pandemic, the internet, and social media have become a proper alternative source for tax-related information among taxpayers. The results of the 202 participant-survey show that participants search for tax information mainly done with Google search engine (97%), where the website Pajak.go.id becomes the most common (87,1%) website for taxpayers to access. Youtube channel becomes the most popular social media to search for tax information. Google is preferable because it is more familiar, user friendly, and capable to bring more alternatives for information. The role of the official government website for taxation purposes becomes the main factor for participants to prefer the Pajak.go.id website to search for tax information. Last but not least, Youtube was more appropriate for our respondents because it is more familiar, easy to understand, and contains complete information that was needed by the user.</w:t>
      </w:r>
    </w:p>
    <w:p w14:paraId="04D5E9A0" w14:textId="77777777" w:rsidR="007A12E3" w:rsidRPr="007A12E3" w:rsidRDefault="007A12E3" w:rsidP="007A12E3">
      <w:pPr>
        <w:ind w:firstLine="426"/>
        <w:jc w:val="both"/>
        <w:rPr>
          <w:rFonts w:eastAsia="Times"/>
        </w:rPr>
      </w:pPr>
      <w:r w:rsidRPr="007A12E3">
        <w:rPr>
          <w:rFonts w:eastAsia="Times"/>
        </w:rPr>
        <w:t>The patterns of how taxpayers search about taxation information revealed by these findings could be a useful reference to understand taxpayer's behavior in their effort to fulfill their tax knowledge. Understanding this behavior could be pivotal for tax information provided on building more precise communication and dissemination strategies on the right media channel. Tax information on the precise media channel that could answer the taxpayer's needs for taxation information could support the growth of tax knowledge and ultimately, the growth of tax compliance.</w:t>
      </w:r>
    </w:p>
    <w:p w14:paraId="14054E54" w14:textId="4231E1F8" w:rsidR="00C25B0C" w:rsidRDefault="007A12E3" w:rsidP="007A12E3">
      <w:pPr>
        <w:ind w:firstLine="426"/>
        <w:jc w:val="both"/>
        <w:rPr>
          <w:rFonts w:eastAsia="Times"/>
        </w:rPr>
      </w:pPr>
      <w:r w:rsidRPr="007A12E3">
        <w:rPr>
          <w:rFonts w:eastAsia="Times"/>
        </w:rPr>
        <w:t>Even so, since this study uses a non-probability sampling with an incidental sampling technique, it is important to understand that the results of this study could only be applied to the observed sample. Hence, the finding of this research should serve as the foundation of follow up researches that use a probability sampling methodology so it can represent the p</w:t>
      </w:r>
      <w:r>
        <w:rPr>
          <w:rFonts w:eastAsia="Times"/>
        </w:rPr>
        <w:t>opulation properly</w:t>
      </w:r>
      <w:r w:rsidR="000A49D4" w:rsidRPr="000A49D4">
        <w:rPr>
          <w:rFonts w:eastAsia="Times"/>
        </w:rPr>
        <w:t>.</w:t>
      </w:r>
    </w:p>
    <w:p w14:paraId="36225298" w14:textId="77777777" w:rsidR="00C25B0C" w:rsidRPr="00C25B0C" w:rsidRDefault="00C25B0C" w:rsidP="00C25B0C">
      <w:pPr>
        <w:ind w:firstLine="426"/>
        <w:jc w:val="both"/>
      </w:pPr>
    </w:p>
    <w:p w14:paraId="6AB9910A" w14:textId="3EE3C525" w:rsidR="00B17912" w:rsidRPr="0042530D" w:rsidRDefault="00B17912" w:rsidP="00B17912">
      <w:pPr>
        <w:rPr>
          <w:rFonts w:eastAsia="Times"/>
          <w:b/>
        </w:rPr>
      </w:pPr>
    </w:p>
    <w:p w14:paraId="6BFE2DBB" w14:textId="25AF7773" w:rsidR="00274BE6" w:rsidRPr="0042530D" w:rsidRDefault="008153B4" w:rsidP="00586712">
      <w:pPr>
        <w:tabs>
          <w:tab w:val="left" w:pos="1361"/>
          <w:tab w:val="left" w:pos="1531"/>
          <w:tab w:val="left" w:pos="1701"/>
          <w:tab w:val="left" w:pos="1871"/>
          <w:tab w:val="left" w:pos="2041"/>
          <w:tab w:val="left" w:pos="2211"/>
          <w:tab w:val="left" w:pos="2381"/>
          <w:tab w:val="left" w:pos="2552"/>
        </w:tabs>
        <w:spacing w:after="120"/>
        <w:jc w:val="both"/>
      </w:pPr>
      <w:r w:rsidRPr="0042530D">
        <w:rPr>
          <w:rFonts w:eastAsia="Times"/>
          <w:b/>
        </w:rPr>
        <w:t>Acknowledgments.</w:t>
      </w:r>
      <w:r w:rsidRPr="0042530D">
        <w:rPr>
          <w:rFonts w:eastAsia="Times"/>
        </w:rPr>
        <w:t xml:space="preserve"> The </w:t>
      </w:r>
      <w:r w:rsidR="007A12E3" w:rsidRPr="007A12E3">
        <w:rPr>
          <w:rFonts w:eastAsia="Times"/>
          <w:lang w:val="id-ID"/>
        </w:rPr>
        <w:t>researchers would like to thank in advance to all of the respondents for the willingness to participate in fulfilling the questionnaire for this study.</w:t>
      </w:r>
    </w:p>
    <w:p w14:paraId="112D5DDE" w14:textId="100F914E" w:rsidR="00B17912" w:rsidRPr="0042530D" w:rsidRDefault="00B17912"/>
    <w:p w14:paraId="1476B5BD" w14:textId="77777777" w:rsidR="00274BE6" w:rsidRPr="0042530D" w:rsidRDefault="008153B4">
      <w:pPr>
        <w:tabs>
          <w:tab w:val="left" w:pos="1361"/>
          <w:tab w:val="left" w:pos="1531"/>
          <w:tab w:val="left" w:pos="1701"/>
          <w:tab w:val="left" w:pos="1871"/>
          <w:tab w:val="left" w:pos="2041"/>
          <w:tab w:val="left" w:pos="2211"/>
          <w:tab w:val="left" w:pos="2381"/>
          <w:tab w:val="left" w:pos="2552"/>
        </w:tabs>
        <w:spacing w:before="120" w:after="120"/>
      </w:pPr>
      <w:r w:rsidRPr="0042530D">
        <w:rPr>
          <w:rFonts w:eastAsia="Times"/>
          <w:b/>
          <w:sz w:val="24"/>
          <w:szCs w:val="24"/>
        </w:rPr>
        <w:t>References</w:t>
      </w:r>
    </w:p>
    <w:p w14:paraId="749F9A14" w14:textId="0FC13E18" w:rsidR="007A12E3" w:rsidRPr="007A12E3" w:rsidRDefault="000A49D4" w:rsidP="007A12E3">
      <w:pPr>
        <w:tabs>
          <w:tab w:val="left" w:pos="567"/>
        </w:tabs>
        <w:ind w:left="567" w:hanging="567"/>
        <w:jc w:val="both"/>
        <w:rPr>
          <w:rFonts w:eastAsia="Times"/>
          <w:color w:val="auto"/>
        </w:rPr>
      </w:pPr>
      <w:r w:rsidRPr="000A49D4">
        <w:rPr>
          <w:rFonts w:eastAsia="Times"/>
          <w:color w:val="auto"/>
        </w:rPr>
        <w:t>[</w:t>
      </w:r>
      <w:r w:rsidR="007A12E3">
        <w:rPr>
          <w:rFonts w:eastAsia="Times"/>
          <w:color w:val="auto"/>
        </w:rPr>
        <w:t>1]</w:t>
      </w:r>
      <w:r w:rsidR="007A12E3">
        <w:rPr>
          <w:rFonts w:eastAsia="Times"/>
          <w:color w:val="auto"/>
        </w:rPr>
        <w:tab/>
      </w:r>
      <w:r w:rsidR="007A12E3" w:rsidRPr="007A12E3">
        <w:rPr>
          <w:rFonts w:eastAsia="Times"/>
          <w:color w:val="auto"/>
        </w:rPr>
        <w:t>Mardiasmo, Perpajakan. Rev Edition. Yogyakarta: Penerbit Andi, 2016</w:t>
      </w:r>
    </w:p>
    <w:p w14:paraId="29E6D812" w14:textId="68A41708" w:rsidR="007A12E3" w:rsidRPr="007A12E3" w:rsidRDefault="007A12E3" w:rsidP="007A12E3">
      <w:pPr>
        <w:tabs>
          <w:tab w:val="left" w:pos="567"/>
        </w:tabs>
        <w:ind w:left="567" w:hanging="567"/>
        <w:jc w:val="both"/>
        <w:rPr>
          <w:rFonts w:eastAsia="Times"/>
          <w:color w:val="auto"/>
        </w:rPr>
      </w:pPr>
      <w:r w:rsidRPr="007A12E3">
        <w:rPr>
          <w:rFonts w:eastAsia="Times"/>
          <w:color w:val="auto"/>
        </w:rPr>
        <w:t>[2]</w:t>
      </w:r>
      <w:r>
        <w:rPr>
          <w:rFonts w:eastAsia="Times"/>
          <w:color w:val="auto"/>
        </w:rPr>
        <w:tab/>
      </w:r>
      <w:r>
        <w:rPr>
          <w:rFonts w:eastAsia="Times"/>
          <w:color w:val="auto"/>
          <w:lang w:val="id-ID"/>
        </w:rPr>
        <w:t>T</w:t>
      </w:r>
      <w:r w:rsidRPr="007A12E3">
        <w:rPr>
          <w:rFonts w:eastAsia="Times"/>
          <w:color w:val="auto"/>
        </w:rPr>
        <w:t>.D. Wilson, “Models in Information Behavior Research”, Journal of Documentation, 55(3) 249-270, 1999</w:t>
      </w:r>
    </w:p>
    <w:p w14:paraId="35B78329" w14:textId="7D95855F" w:rsidR="007A12E3" w:rsidRPr="007A12E3" w:rsidRDefault="007A12E3" w:rsidP="007A12E3">
      <w:pPr>
        <w:tabs>
          <w:tab w:val="left" w:pos="567"/>
        </w:tabs>
        <w:ind w:left="567" w:hanging="567"/>
        <w:jc w:val="both"/>
        <w:rPr>
          <w:rFonts w:eastAsia="Times"/>
          <w:color w:val="auto"/>
        </w:rPr>
      </w:pPr>
      <w:r w:rsidRPr="007A12E3">
        <w:rPr>
          <w:rFonts w:eastAsia="Times"/>
          <w:color w:val="auto"/>
        </w:rPr>
        <w:t>[3]</w:t>
      </w:r>
      <w:r>
        <w:rPr>
          <w:rFonts w:eastAsia="Times"/>
          <w:color w:val="auto"/>
        </w:rPr>
        <w:tab/>
      </w:r>
      <w:r>
        <w:rPr>
          <w:rFonts w:eastAsia="Times"/>
          <w:color w:val="auto"/>
          <w:lang w:val="id-ID"/>
        </w:rPr>
        <w:t>D</w:t>
      </w:r>
      <w:r w:rsidRPr="007A12E3">
        <w:rPr>
          <w:rFonts w:eastAsia="Times"/>
          <w:color w:val="auto"/>
        </w:rPr>
        <w:t>. Ellis, “Modeling The Information-Seeking Patterns of Academic Researchers: A Grounded Theory Approach” Library Q</w:t>
      </w:r>
      <w:r>
        <w:rPr>
          <w:rFonts w:eastAsia="Times"/>
          <w:color w:val="auto"/>
        </w:rPr>
        <w:t xml:space="preserve">uarterly, 63 (4), pp. 469-486, </w:t>
      </w:r>
      <w:r w:rsidRPr="007A12E3">
        <w:rPr>
          <w:rFonts w:eastAsia="Times"/>
          <w:color w:val="auto"/>
        </w:rPr>
        <w:t>1993</w:t>
      </w:r>
    </w:p>
    <w:p w14:paraId="5C2F7E34" w14:textId="6C2A76A2" w:rsidR="007A12E3" w:rsidRPr="007A12E3" w:rsidRDefault="007A12E3" w:rsidP="007A12E3">
      <w:pPr>
        <w:tabs>
          <w:tab w:val="left" w:pos="567"/>
        </w:tabs>
        <w:ind w:left="567" w:hanging="567"/>
        <w:jc w:val="both"/>
        <w:rPr>
          <w:rFonts w:eastAsia="Times"/>
          <w:color w:val="auto"/>
        </w:rPr>
      </w:pPr>
      <w:r>
        <w:rPr>
          <w:rFonts w:eastAsia="Times"/>
          <w:color w:val="auto"/>
        </w:rPr>
        <w:t>[4]</w:t>
      </w:r>
      <w:r>
        <w:rPr>
          <w:rFonts w:eastAsia="Times"/>
          <w:color w:val="auto"/>
        </w:rPr>
        <w:tab/>
      </w:r>
      <w:r w:rsidRPr="007A12E3">
        <w:rPr>
          <w:rFonts w:eastAsia="Times"/>
          <w:color w:val="auto"/>
        </w:rPr>
        <w:t>Oladipopu et al, “Tax Knowledge, Penalties, and Tax Compliance in Small and Medium Scale Enterprises in Nigeria”. iBusiness, Vol 8. pp 1-9, 2016</w:t>
      </w:r>
    </w:p>
    <w:p w14:paraId="25098794" w14:textId="34161F10" w:rsidR="007A12E3" w:rsidRPr="007A12E3" w:rsidRDefault="007A12E3" w:rsidP="007A12E3">
      <w:pPr>
        <w:tabs>
          <w:tab w:val="left" w:pos="567"/>
        </w:tabs>
        <w:ind w:left="567" w:hanging="567"/>
        <w:jc w:val="both"/>
        <w:rPr>
          <w:rFonts w:eastAsia="Times"/>
          <w:color w:val="auto"/>
        </w:rPr>
      </w:pPr>
      <w:r w:rsidRPr="007A12E3">
        <w:rPr>
          <w:rFonts w:eastAsia="Times"/>
          <w:color w:val="auto"/>
        </w:rPr>
        <w:t>[5]</w:t>
      </w:r>
      <w:r>
        <w:rPr>
          <w:rFonts w:eastAsia="Times"/>
          <w:color w:val="auto"/>
        </w:rPr>
        <w:tab/>
      </w:r>
      <w:r w:rsidRPr="007A12E3">
        <w:rPr>
          <w:rFonts w:eastAsia="Times"/>
          <w:color w:val="auto"/>
        </w:rPr>
        <w:t>Directorate General of Taxation, Announcement Number 3 / PJ.09 / 2020 About Announcement of Extension of Taxation Services Without Advance, 2020</w:t>
      </w:r>
    </w:p>
    <w:p w14:paraId="79A307D0" w14:textId="4FB2662E" w:rsidR="007A12E3" w:rsidRPr="007A12E3" w:rsidRDefault="007A12E3" w:rsidP="007A12E3">
      <w:pPr>
        <w:tabs>
          <w:tab w:val="left" w:pos="567"/>
        </w:tabs>
        <w:ind w:left="567" w:hanging="567"/>
        <w:jc w:val="both"/>
        <w:rPr>
          <w:rFonts w:eastAsia="Times"/>
          <w:color w:val="auto"/>
        </w:rPr>
      </w:pPr>
      <w:r w:rsidRPr="007A12E3">
        <w:rPr>
          <w:rFonts w:eastAsia="Times"/>
          <w:color w:val="auto"/>
        </w:rPr>
        <w:t>[6]</w:t>
      </w:r>
      <w:r>
        <w:rPr>
          <w:rFonts w:eastAsia="Times"/>
          <w:color w:val="auto"/>
        </w:rPr>
        <w:tab/>
      </w:r>
      <w:r w:rsidRPr="007A12E3">
        <w:rPr>
          <w:rFonts w:eastAsia="Times"/>
          <w:color w:val="auto"/>
        </w:rPr>
        <w:t>Directorate General of Taxation, “Announcement of Extension of Taxation Service Time Without Face to Face”, 2020, [Online] Available: https://www.pajak.go.id/pengumuman/pengumuman-perpanjangan-waktu-pelayanan-perpajakan-tanpa-tatap-muka-0</w:t>
      </w:r>
    </w:p>
    <w:p w14:paraId="7E6FA89A" w14:textId="0A06C37D" w:rsidR="007A12E3" w:rsidRPr="007A12E3" w:rsidRDefault="007A12E3" w:rsidP="007A12E3">
      <w:pPr>
        <w:tabs>
          <w:tab w:val="left" w:pos="567"/>
        </w:tabs>
        <w:ind w:left="567" w:hanging="567"/>
        <w:jc w:val="both"/>
        <w:rPr>
          <w:rFonts w:eastAsia="Times"/>
          <w:color w:val="auto"/>
        </w:rPr>
      </w:pPr>
      <w:r w:rsidRPr="007A12E3">
        <w:rPr>
          <w:rFonts w:eastAsia="Times"/>
          <w:color w:val="auto"/>
        </w:rPr>
        <w:lastRenderedPageBreak/>
        <w:t>[7]</w:t>
      </w:r>
      <w:r>
        <w:rPr>
          <w:rFonts w:eastAsia="Times"/>
          <w:color w:val="auto"/>
        </w:rPr>
        <w:tab/>
      </w:r>
      <w:r w:rsidRPr="007A12E3">
        <w:rPr>
          <w:rFonts w:eastAsia="Times"/>
          <w:color w:val="auto"/>
        </w:rPr>
        <w:t>Directorate General of Taxation, “Face to Face Tax Service Reopens June 15”, 2020, [Online] Available: https://www.pajak.go.id/siaran-pers/layanan-perpajakan-tatap-muka-dibuka-kembali-15-juni-2020</w:t>
      </w:r>
    </w:p>
    <w:p w14:paraId="1CA40778" w14:textId="40863E8B" w:rsidR="007A12E3" w:rsidRPr="007A12E3" w:rsidRDefault="007A12E3" w:rsidP="007A12E3">
      <w:pPr>
        <w:tabs>
          <w:tab w:val="left" w:pos="567"/>
        </w:tabs>
        <w:ind w:left="567" w:hanging="567"/>
        <w:jc w:val="both"/>
        <w:rPr>
          <w:rFonts w:eastAsia="Times"/>
          <w:color w:val="auto"/>
        </w:rPr>
      </w:pPr>
      <w:r w:rsidRPr="007A12E3">
        <w:rPr>
          <w:rFonts w:eastAsia="Times"/>
          <w:color w:val="auto"/>
        </w:rPr>
        <w:t>[8]</w:t>
      </w:r>
      <w:r>
        <w:rPr>
          <w:rFonts w:eastAsia="Times"/>
          <w:color w:val="auto"/>
        </w:rPr>
        <w:tab/>
      </w:r>
      <w:r w:rsidRPr="007A12E3">
        <w:rPr>
          <w:rFonts w:eastAsia="Times"/>
          <w:color w:val="auto"/>
        </w:rPr>
        <w:t>Directorate General of Taxation, “DGT Adopts New Normality Protocol”, 2020.[Online] Available: https://www.pajak.go.id/covid19</w:t>
      </w:r>
    </w:p>
    <w:p w14:paraId="5BBF533E" w14:textId="791A33CF" w:rsidR="007A12E3" w:rsidRPr="007A12E3" w:rsidRDefault="007A12E3" w:rsidP="007A12E3">
      <w:pPr>
        <w:tabs>
          <w:tab w:val="left" w:pos="567"/>
        </w:tabs>
        <w:ind w:left="567" w:hanging="567"/>
        <w:jc w:val="both"/>
        <w:rPr>
          <w:rFonts w:eastAsia="Times"/>
          <w:color w:val="auto"/>
        </w:rPr>
      </w:pPr>
      <w:r w:rsidRPr="007A12E3">
        <w:rPr>
          <w:rFonts w:eastAsia="Times"/>
          <w:color w:val="auto"/>
        </w:rPr>
        <w:t>[9]</w:t>
      </w:r>
      <w:r>
        <w:rPr>
          <w:rFonts w:eastAsia="Times"/>
          <w:color w:val="auto"/>
        </w:rPr>
        <w:tab/>
      </w:r>
      <w:r>
        <w:rPr>
          <w:rFonts w:eastAsia="Times"/>
          <w:color w:val="auto"/>
          <w:lang w:val="id-ID"/>
        </w:rPr>
        <w:t>P</w:t>
      </w:r>
      <w:r w:rsidRPr="007A12E3">
        <w:rPr>
          <w:rFonts w:eastAsia="Times"/>
          <w:color w:val="auto"/>
        </w:rPr>
        <w:t>EW Research Centre, “Science News and Information Today”, 2017, [Online] Available:https://www.journalism.org/2017/09/20/science-news-and-information-today/</w:t>
      </w:r>
    </w:p>
    <w:p w14:paraId="55E96AC2" w14:textId="5D2E03D0" w:rsidR="007A12E3" w:rsidRPr="007A12E3" w:rsidRDefault="007A12E3" w:rsidP="007A12E3">
      <w:pPr>
        <w:tabs>
          <w:tab w:val="left" w:pos="567"/>
        </w:tabs>
        <w:ind w:left="567" w:hanging="567"/>
        <w:jc w:val="both"/>
        <w:rPr>
          <w:rFonts w:eastAsia="Times"/>
          <w:color w:val="auto"/>
        </w:rPr>
      </w:pPr>
      <w:r w:rsidRPr="007A12E3">
        <w:rPr>
          <w:rFonts w:eastAsia="Times"/>
          <w:color w:val="auto"/>
        </w:rPr>
        <w:t xml:space="preserve">[10]  </w:t>
      </w:r>
      <w:r>
        <w:rPr>
          <w:rFonts w:eastAsia="Times"/>
          <w:color w:val="auto"/>
        </w:rPr>
        <w:tab/>
      </w:r>
      <w:r w:rsidRPr="007A12E3">
        <w:rPr>
          <w:rFonts w:eastAsia="Times"/>
          <w:color w:val="auto"/>
        </w:rPr>
        <w:t>We Are Social; Hootsuite, “Digital in 2020: Essential Insights Into. Internet, Social Media, Mobile, and E-Commerce Use Around The World”, 2020 [Online] Available: https://datareportal.com/</w:t>
      </w:r>
    </w:p>
    <w:p w14:paraId="76B16A44" w14:textId="18B70B54" w:rsidR="007A12E3" w:rsidRPr="007A12E3" w:rsidRDefault="007A12E3" w:rsidP="007A12E3">
      <w:pPr>
        <w:tabs>
          <w:tab w:val="left" w:pos="567"/>
        </w:tabs>
        <w:ind w:left="567" w:hanging="567"/>
        <w:jc w:val="both"/>
        <w:rPr>
          <w:rFonts w:eastAsia="Times"/>
          <w:color w:val="auto"/>
        </w:rPr>
      </w:pPr>
      <w:r w:rsidRPr="007A12E3">
        <w:rPr>
          <w:rFonts w:eastAsia="Times"/>
          <w:color w:val="auto"/>
        </w:rPr>
        <w:t>[11]</w:t>
      </w:r>
      <w:r>
        <w:rPr>
          <w:rFonts w:eastAsia="Times"/>
          <w:color w:val="auto"/>
        </w:rPr>
        <w:tab/>
      </w:r>
      <w:r w:rsidRPr="007A12E3">
        <w:rPr>
          <w:rFonts w:eastAsia="Times"/>
          <w:color w:val="auto"/>
        </w:rPr>
        <w:t>We Are Social; Hootsuite, “Digital in 2020 Q1 Indonesia Digital Statshot”, 2020, [Online]Available: https://datareportal.com/reports/digital-2020-indonesia</w:t>
      </w:r>
    </w:p>
    <w:p w14:paraId="0F46B216" w14:textId="49551A3A" w:rsidR="007A12E3" w:rsidRPr="007A12E3" w:rsidRDefault="007A12E3" w:rsidP="007A12E3">
      <w:pPr>
        <w:tabs>
          <w:tab w:val="left" w:pos="567"/>
        </w:tabs>
        <w:ind w:left="567" w:hanging="567"/>
        <w:jc w:val="both"/>
        <w:rPr>
          <w:rFonts w:eastAsia="Times"/>
          <w:color w:val="auto"/>
        </w:rPr>
      </w:pPr>
      <w:r>
        <w:rPr>
          <w:rFonts w:eastAsia="Times"/>
          <w:color w:val="auto"/>
        </w:rPr>
        <w:t xml:space="preserve">[12] </w:t>
      </w:r>
      <w:r>
        <w:rPr>
          <w:rFonts w:eastAsia="Times"/>
          <w:color w:val="auto"/>
        </w:rPr>
        <w:tab/>
      </w:r>
      <w:r w:rsidRPr="007A12E3">
        <w:rPr>
          <w:rFonts w:eastAsia="Times"/>
          <w:color w:val="auto"/>
        </w:rPr>
        <w:t>Kaplan et al, “Users of The World, Unite! The Challenges and Opportunities of Social Media”. Business Horizon. 53 (1), 59–68, 2010</w:t>
      </w:r>
    </w:p>
    <w:p w14:paraId="262AA161" w14:textId="60DC10D7" w:rsidR="007A12E3" w:rsidRPr="007A12E3" w:rsidRDefault="007A12E3" w:rsidP="007A12E3">
      <w:pPr>
        <w:tabs>
          <w:tab w:val="left" w:pos="567"/>
        </w:tabs>
        <w:ind w:left="567" w:hanging="567"/>
        <w:jc w:val="both"/>
        <w:rPr>
          <w:rFonts w:eastAsia="Times"/>
          <w:color w:val="auto"/>
        </w:rPr>
      </w:pPr>
      <w:r w:rsidRPr="007A12E3">
        <w:rPr>
          <w:rFonts w:eastAsia="Times"/>
          <w:color w:val="auto"/>
        </w:rPr>
        <w:t xml:space="preserve">[13]  </w:t>
      </w:r>
      <w:r>
        <w:rPr>
          <w:rFonts w:eastAsia="Times"/>
          <w:color w:val="auto"/>
        </w:rPr>
        <w:tab/>
      </w:r>
      <w:r w:rsidRPr="007A12E3">
        <w:rPr>
          <w:rFonts w:eastAsia="Times"/>
          <w:color w:val="auto"/>
        </w:rPr>
        <w:t>Online-Pajak, “Official Tax and Government-Owned Website You Need To Know”, 2018 [Online} Available: https://www.online-pajak.com/tentang-pajakpay/website-pajak-resmi</w:t>
      </w:r>
    </w:p>
    <w:p w14:paraId="4C7DC03B" w14:textId="757EE5EA" w:rsidR="007A12E3" w:rsidRPr="007A12E3" w:rsidRDefault="007A12E3" w:rsidP="007A12E3">
      <w:pPr>
        <w:tabs>
          <w:tab w:val="left" w:pos="567"/>
        </w:tabs>
        <w:ind w:left="567" w:hanging="567"/>
        <w:jc w:val="both"/>
        <w:rPr>
          <w:rFonts w:eastAsia="Times"/>
          <w:color w:val="auto"/>
        </w:rPr>
      </w:pPr>
      <w:r w:rsidRPr="007A12E3">
        <w:rPr>
          <w:rFonts w:eastAsia="Times"/>
          <w:color w:val="auto"/>
        </w:rPr>
        <w:t xml:space="preserve">[14] </w:t>
      </w:r>
      <w:r>
        <w:rPr>
          <w:rFonts w:eastAsia="Times"/>
          <w:color w:val="auto"/>
        </w:rPr>
        <w:tab/>
      </w:r>
      <w:r w:rsidRPr="007A12E3">
        <w:rPr>
          <w:rFonts w:eastAsia="Times"/>
          <w:color w:val="auto"/>
        </w:rPr>
        <w:t>Directorate General Of Taxation, “Directorate General of Taxation Maximizes Social Media Spread Tax Information”, 2019, [Online] Available:https://www.pajak.go.id/berita/ditjen-pajak-maksimalkan-media-sosial-sebar-informasi-perpajakan (2019)</w:t>
      </w:r>
    </w:p>
    <w:p w14:paraId="0F4487E7" w14:textId="20472BBC" w:rsidR="007A12E3" w:rsidRPr="007A12E3" w:rsidRDefault="007A12E3" w:rsidP="007A12E3">
      <w:pPr>
        <w:tabs>
          <w:tab w:val="left" w:pos="567"/>
        </w:tabs>
        <w:ind w:left="567" w:hanging="567"/>
        <w:jc w:val="both"/>
        <w:rPr>
          <w:rFonts w:eastAsia="Times"/>
          <w:color w:val="auto"/>
        </w:rPr>
      </w:pPr>
      <w:r w:rsidRPr="007A12E3">
        <w:rPr>
          <w:rFonts w:eastAsia="Times"/>
          <w:color w:val="auto"/>
        </w:rPr>
        <w:t xml:space="preserve">[15]  </w:t>
      </w:r>
      <w:r>
        <w:rPr>
          <w:rFonts w:eastAsia="Times"/>
          <w:color w:val="auto"/>
        </w:rPr>
        <w:tab/>
      </w:r>
      <w:r>
        <w:rPr>
          <w:rFonts w:eastAsia="Times"/>
          <w:color w:val="auto"/>
          <w:lang w:val="id-ID"/>
        </w:rPr>
        <w:t>D</w:t>
      </w:r>
      <w:r w:rsidRPr="007A12E3">
        <w:rPr>
          <w:rFonts w:eastAsia="Times"/>
          <w:color w:val="auto"/>
        </w:rPr>
        <w:t>irectorate General of Taxation, Decree of the Director-General of Tax Number KEP-273 / PJ / 2013 concerning Management of Accounts of the Directorate General of Taxes in Social Media Networks, 2013</w:t>
      </w:r>
    </w:p>
    <w:p w14:paraId="531E750B" w14:textId="65658A29" w:rsidR="007A12E3" w:rsidRPr="007A12E3" w:rsidRDefault="007A12E3" w:rsidP="007A12E3">
      <w:pPr>
        <w:tabs>
          <w:tab w:val="left" w:pos="567"/>
        </w:tabs>
        <w:ind w:left="567" w:hanging="567"/>
        <w:jc w:val="both"/>
        <w:rPr>
          <w:rFonts w:eastAsia="Times"/>
          <w:color w:val="auto"/>
        </w:rPr>
      </w:pPr>
      <w:r>
        <w:rPr>
          <w:rFonts w:eastAsia="Times"/>
          <w:color w:val="auto"/>
        </w:rPr>
        <w:t xml:space="preserve">[16] </w:t>
      </w:r>
      <w:r>
        <w:rPr>
          <w:rFonts w:eastAsia="Times"/>
          <w:color w:val="auto"/>
        </w:rPr>
        <w:tab/>
      </w:r>
      <w:r w:rsidRPr="007A12E3">
        <w:rPr>
          <w:rFonts w:eastAsia="Times"/>
          <w:color w:val="auto"/>
        </w:rPr>
        <w:t>Directorate General of Taxation, Decrees of the Director of Counseling, Services, and Public Relations Number KEP-03 / PJ.09 / 2015 about The Directorate General of Tax's Official Social Media Account Management Team, 2015</w:t>
      </w:r>
    </w:p>
    <w:p w14:paraId="23BABF34" w14:textId="4EA623B7" w:rsidR="007A12E3" w:rsidRPr="007A12E3" w:rsidRDefault="007A12E3" w:rsidP="007A12E3">
      <w:pPr>
        <w:tabs>
          <w:tab w:val="left" w:pos="567"/>
        </w:tabs>
        <w:ind w:left="567" w:hanging="567"/>
        <w:jc w:val="both"/>
        <w:rPr>
          <w:rFonts w:eastAsia="Times"/>
          <w:color w:val="auto"/>
        </w:rPr>
      </w:pPr>
      <w:r w:rsidRPr="007A12E3">
        <w:rPr>
          <w:rFonts w:eastAsia="Times"/>
          <w:color w:val="auto"/>
        </w:rPr>
        <w:t xml:space="preserve">[17]   </w:t>
      </w:r>
      <w:r>
        <w:rPr>
          <w:rFonts w:eastAsia="Times"/>
          <w:color w:val="auto"/>
        </w:rPr>
        <w:t xml:space="preserve"> M. Singarimbun &amp;  S. Effendi, </w:t>
      </w:r>
      <w:r w:rsidRPr="007A12E3">
        <w:rPr>
          <w:rFonts w:eastAsia="Times"/>
          <w:color w:val="auto"/>
        </w:rPr>
        <w:t>Metode Penelitian Survei,  Yogyakarta: LP3ES, 1989</w:t>
      </w:r>
    </w:p>
    <w:p w14:paraId="4E460448" w14:textId="77777777" w:rsidR="007A12E3" w:rsidRPr="007A12E3" w:rsidRDefault="007A12E3" w:rsidP="007A12E3">
      <w:pPr>
        <w:tabs>
          <w:tab w:val="left" w:pos="567"/>
        </w:tabs>
        <w:ind w:left="567" w:hanging="567"/>
        <w:jc w:val="both"/>
        <w:rPr>
          <w:rFonts w:eastAsia="Times"/>
          <w:color w:val="auto"/>
        </w:rPr>
      </w:pPr>
      <w:r w:rsidRPr="007A12E3">
        <w:rPr>
          <w:rFonts w:eastAsia="Times"/>
          <w:color w:val="auto"/>
        </w:rPr>
        <w:t>[18]    Sugiyono, Metodi Riset Kuantitatf Kualitatif dan R&amp;D. Bandung: Alfabeta, 2006</w:t>
      </w:r>
    </w:p>
    <w:p w14:paraId="6F1F288D" w14:textId="77777777" w:rsidR="007A12E3" w:rsidRPr="007A12E3" w:rsidRDefault="007A12E3" w:rsidP="007A12E3">
      <w:pPr>
        <w:tabs>
          <w:tab w:val="left" w:pos="567"/>
        </w:tabs>
        <w:ind w:left="567" w:hanging="567"/>
        <w:jc w:val="both"/>
        <w:rPr>
          <w:rFonts w:eastAsia="Times"/>
          <w:color w:val="auto"/>
        </w:rPr>
      </w:pPr>
      <w:r w:rsidRPr="007A12E3">
        <w:rPr>
          <w:rFonts w:eastAsia="Times"/>
          <w:color w:val="auto"/>
        </w:rPr>
        <w:t>[19]    S. Lemeshow et al, Adequacy of Sample Size in Health Studies. New York: John Wiley &amp; Sons, 1990</w:t>
      </w:r>
    </w:p>
    <w:p w14:paraId="1F001101" w14:textId="32B77417" w:rsidR="007A12E3" w:rsidRPr="007A12E3" w:rsidRDefault="007A12E3" w:rsidP="007A12E3">
      <w:pPr>
        <w:tabs>
          <w:tab w:val="left" w:pos="567"/>
        </w:tabs>
        <w:ind w:left="567" w:hanging="567"/>
        <w:jc w:val="both"/>
        <w:rPr>
          <w:rFonts w:eastAsia="Times"/>
          <w:color w:val="auto"/>
        </w:rPr>
      </w:pPr>
      <w:r w:rsidRPr="007A12E3">
        <w:rPr>
          <w:rFonts w:eastAsia="Times"/>
          <w:color w:val="auto"/>
        </w:rPr>
        <w:t>[20]    C.W. Choo et al, “Information Seeking on the Web: An Integrated Model of Browsing and Search</w:t>
      </w:r>
      <w:r>
        <w:rPr>
          <w:rFonts w:eastAsia="Times"/>
          <w:color w:val="auto"/>
        </w:rPr>
        <w:t xml:space="preserve">ing”, 2000 [Online] Available: </w:t>
      </w:r>
      <w:r>
        <w:rPr>
          <w:rFonts w:eastAsia="Times"/>
          <w:color w:val="auto"/>
          <w:lang w:val="id-ID"/>
        </w:rPr>
        <w:t xml:space="preserve"> </w:t>
      </w:r>
      <w:r w:rsidRPr="007A12E3">
        <w:rPr>
          <w:rFonts w:eastAsia="Times"/>
          <w:color w:val="auto"/>
        </w:rPr>
        <w:t>http://firstmonday.org/issues/issue5_2/choo/index.html</w:t>
      </w:r>
    </w:p>
    <w:p w14:paraId="60990843" w14:textId="77777777" w:rsidR="007A12E3" w:rsidRPr="007A12E3" w:rsidRDefault="007A12E3" w:rsidP="007A12E3">
      <w:pPr>
        <w:tabs>
          <w:tab w:val="left" w:pos="567"/>
        </w:tabs>
        <w:ind w:left="567" w:hanging="567"/>
        <w:jc w:val="both"/>
        <w:rPr>
          <w:rFonts w:eastAsia="Times"/>
          <w:color w:val="auto"/>
        </w:rPr>
      </w:pPr>
      <w:r w:rsidRPr="007A12E3">
        <w:rPr>
          <w:rFonts w:eastAsia="Times"/>
          <w:color w:val="auto"/>
        </w:rPr>
        <w:t>[21]    H. Hoesin et al, “Penilaian Situs Pemerintah Daerah di Provinsi DKI Jakarta, Bengkulu, Jambi, dan Bangka Belitung”. Seminar Nasional Informatika 2008 UPN ‘Veteran Yogyakarta. ISSN: 1979-2328, 2008</w:t>
      </w:r>
    </w:p>
    <w:p w14:paraId="69DED551" w14:textId="3661D400" w:rsidR="007A12E3" w:rsidRPr="007A12E3" w:rsidRDefault="007A12E3" w:rsidP="007A12E3">
      <w:pPr>
        <w:tabs>
          <w:tab w:val="left" w:pos="567"/>
        </w:tabs>
        <w:ind w:left="567" w:hanging="567"/>
        <w:jc w:val="both"/>
        <w:rPr>
          <w:rFonts w:eastAsia="Times"/>
          <w:color w:val="auto"/>
        </w:rPr>
      </w:pPr>
      <w:r w:rsidRPr="007A12E3">
        <w:rPr>
          <w:rFonts w:eastAsia="Times"/>
          <w:color w:val="auto"/>
        </w:rPr>
        <w:t xml:space="preserve">[22]  </w:t>
      </w:r>
      <w:r>
        <w:rPr>
          <w:rFonts w:eastAsia="Times"/>
          <w:color w:val="auto"/>
        </w:rPr>
        <w:tab/>
      </w:r>
      <w:r w:rsidRPr="007A12E3">
        <w:rPr>
          <w:rFonts w:eastAsia="Times"/>
          <w:color w:val="auto"/>
        </w:rPr>
        <w:t>G.L. Prybutok, “YouTube: An Effective Web 2.0 Informing Channel for Health Education to Prevent STDs”. Informing Science: the International Journal of an Emerging Transdiscipline Vol. 16, 2013</w:t>
      </w:r>
    </w:p>
    <w:p w14:paraId="24AA829B" w14:textId="13D076A2" w:rsidR="007A12E3" w:rsidRPr="007A12E3" w:rsidRDefault="007A12E3" w:rsidP="007A12E3">
      <w:pPr>
        <w:tabs>
          <w:tab w:val="left" w:pos="567"/>
        </w:tabs>
        <w:ind w:left="567" w:hanging="567"/>
        <w:jc w:val="both"/>
        <w:rPr>
          <w:rFonts w:eastAsia="Times"/>
          <w:color w:val="auto"/>
        </w:rPr>
      </w:pPr>
      <w:r w:rsidRPr="007A12E3">
        <w:rPr>
          <w:rFonts w:eastAsia="Times"/>
          <w:color w:val="auto"/>
        </w:rPr>
        <w:t xml:space="preserve">[23]   </w:t>
      </w:r>
      <w:r>
        <w:rPr>
          <w:rFonts w:eastAsia="Times"/>
          <w:color w:val="auto"/>
        </w:rPr>
        <w:tab/>
      </w:r>
      <w:r w:rsidRPr="007A12E3">
        <w:rPr>
          <w:rFonts w:eastAsia="Times"/>
          <w:color w:val="auto"/>
        </w:rPr>
        <w:t>E. Griffin et al, A First Look at Communication Theory. New York: McGraw-Hill Education.10th Ed. 2019</w:t>
      </w:r>
    </w:p>
    <w:p w14:paraId="3C6149A7" w14:textId="7332AE69" w:rsidR="007A12E3" w:rsidRPr="007A12E3" w:rsidRDefault="007A12E3" w:rsidP="007A12E3">
      <w:pPr>
        <w:tabs>
          <w:tab w:val="left" w:pos="567"/>
        </w:tabs>
        <w:ind w:left="567" w:hanging="567"/>
        <w:jc w:val="both"/>
        <w:rPr>
          <w:rFonts w:eastAsia="Times"/>
          <w:color w:val="auto"/>
        </w:rPr>
      </w:pPr>
      <w:r w:rsidRPr="007A12E3">
        <w:rPr>
          <w:rFonts w:eastAsia="Times"/>
          <w:color w:val="auto"/>
        </w:rPr>
        <w:t>[24]  E. Katz et al, “Uses and of Mass Communication by the Individual”, in Mass Communication Research: Major Issues and Future Direction, ed. New York: Praeger, 11-35, 1974</w:t>
      </w:r>
    </w:p>
    <w:p w14:paraId="7B53613C" w14:textId="7A59EADA" w:rsidR="007A12E3" w:rsidRPr="007A12E3" w:rsidRDefault="007A12E3" w:rsidP="007A12E3">
      <w:pPr>
        <w:tabs>
          <w:tab w:val="left" w:pos="567"/>
        </w:tabs>
        <w:ind w:left="567" w:hanging="567"/>
        <w:jc w:val="both"/>
        <w:rPr>
          <w:rFonts w:eastAsia="Times"/>
          <w:color w:val="auto"/>
        </w:rPr>
      </w:pPr>
      <w:r w:rsidRPr="007A12E3">
        <w:rPr>
          <w:rFonts w:eastAsia="Times"/>
          <w:color w:val="auto"/>
        </w:rPr>
        <w:t xml:space="preserve">[25]    </w:t>
      </w:r>
      <w:r>
        <w:rPr>
          <w:rFonts w:eastAsia="Times"/>
          <w:color w:val="auto"/>
        </w:rPr>
        <w:tab/>
      </w:r>
      <w:r w:rsidRPr="007A12E3">
        <w:rPr>
          <w:rFonts w:eastAsia="Times"/>
          <w:color w:val="auto"/>
        </w:rPr>
        <w:t>D. McQuail, Mass Communication Theory: An Introduction, 2nd ed. Newbury Park, CA: Sage, 1987</w:t>
      </w:r>
    </w:p>
    <w:p w14:paraId="48C62545" w14:textId="25350B3E" w:rsidR="007A12E3" w:rsidRPr="007A12E3" w:rsidRDefault="007A12E3" w:rsidP="007A12E3">
      <w:pPr>
        <w:tabs>
          <w:tab w:val="left" w:pos="567"/>
        </w:tabs>
        <w:ind w:left="567" w:hanging="567"/>
        <w:jc w:val="both"/>
        <w:rPr>
          <w:rFonts w:eastAsia="Times"/>
          <w:color w:val="auto"/>
        </w:rPr>
      </w:pPr>
      <w:r w:rsidRPr="007A12E3">
        <w:rPr>
          <w:rFonts w:eastAsia="Times"/>
          <w:color w:val="auto"/>
        </w:rPr>
        <w:lastRenderedPageBreak/>
        <w:t>[26]  C.D Reinhard &amp; B. Dervin, “Media Uses and Gratifications, in 21st Century Communication” A Reference Handbook, Vol. 2, ed. William F. Eadie. Thousand Oaks, CA: Sage, 2009</w:t>
      </w:r>
    </w:p>
    <w:p w14:paraId="7490A640" w14:textId="7EFD1220" w:rsidR="007A12E3" w:rsidRPr="007A12E3" w:rsidRDefault="007A12E3" w:rsidP="007A12E3">
      <w:pPr>
        <w:tabs>
          <w:tab w:val="left" w:pos="567"/>
        </w:tabs>
        <w:ind w:left="567" w:hanging="567"/>
        <w:jc w:val="both"/>
        <w:rPr>
          <w:rFonts w:eastAsia="Times"/>
          <w:color w:val="auto"/>
        </w:rPr>
      </w:pPr>
      <w:r w:rsidRPr="007A12E3">
        <w:rPr>
          <w:rFonts w:eastAsia="Times"/>
          <w:color w:val="auto"/>
        </w:rPr>
        <w:t xml:space="preserve">[27]    </w:t>
      </w:r>
      <w:r>
        <w:rPr>
          <w:rFonts w:eastAsia="Times"/>
          <w:color w:val="auto"/>
          <w:lang w:val="id-ID"/>
        </w:rPr>
        <w:tab/>
      </w:r>
      <w:r w:rsidRPr="007A12E3">
        <w:rPr>
          <w:rFonts w:eastAsia="Times"/>
          <w:color w:val="auto"/>
        </w:rPr>
        <w:t>S.W. Littlejohn et al, Theories of Human Communication. US: Waeland Press, Inc., 2017</w:t>
      </w:r>
    </w:p>
    <w:p w14:paraId="6C46CB73" w14:textId="77777777" w:rsidR="007A12E3" w:rsidRPr="007A12E3" w:rsidRDefault="007A12E3" w:rsidP="007A12E3">
      <w:pPr>
        <w:tabs>
          <w:tab w:val="left" w:pos="567"/>
        </w:tabs>
        <w:ind w:left="567" w:hanging="567"/>
        <w:jc w:val="both"/>
        <w:rPr>
          <w:rFonts w:eastAsia="Times"/>
          <w:color w:val="auto"/>
        </w:rPr>
      </w:pPr>
      <w:r w:rsidRPr="007A12E3">
        <w:rPr>
          <w:rFonts w:eastAsia="Times"/>
          <w:color w:val="auto"/>
        </w:rPr>
        <w:t>[28]    P. Palmgreen, “Uses and Gratifications: A Theoretical Perspective,” in Communication Yearbook. 8, ed. Robert N. Bostrom, Beverly Hills, CA: Sage, pp 20–55, 1984</w:t>
      </w:r>
    </w:p>
    <w:p w14:paraId="2CFFD0F8" w14:textId="0DD0D70B" w:rsidR="007A12E3" w:rsidRPr="007A12E3" w:rsidRDefault="007A12E3" w:rsidP="007A12E3">
      <w:pPr>
        <w:tabs>
          <w:tab w:val="left" w:pos="567"/>
        </w:tabs>
        <w:ind w:left="567" w:hanging="567"/>
        <w:jc w:val="both"/>
        <w:rPr>
          <w:rFonts w:eastAsia="Times"/>
          <w:color w:val="auto"/>
        </w:rPr>
      </w:pPr>
      <w:r w:rsidRPr="007A12E3">
        <w:rPr>
          <w:rFonts w:eastAsia="Times"/>
          <w:color w:val="auto"/>
        </w:rPr>
        <w:t>[29]    A.M. Rubin, “Uses-And-Gratifications Perspective on Media Effects,” in Media Effects: Adva</w:t>
      </w:r>
      <w:r>
        <w:rPr>
          <w:rFonts w:eastAsia="Times"/>
          <w:color w:val="auto"/>
        </w:rPr>
        <w:t xml:space="preserve">nces in Theory and Research, 3 </w:t>
      </w:r>
      <w:r w:rsidRPr="007A12E3">
        <w:rPr>
          <w:rFonts w:eastAsia="Times"/>
          <w:color w:val="auto"/>
        </w:rPr>
        <w:t>ed., J. Bryant and M. B Oliver (eds.), New York: Lawrence Erlbaum, pp. 165–184. 2009</w:t>
      </w:r>
    </w:p>
    <w:p w14:paraId="6D008073" w14:textId="554B4A22" w:rsidR="007A12E3" w:rsidRPr="007A12E3" w:rsidRDefault="00D37013" w:rsidP="007A12E3">
      <w:pPr>
        <w:tabs>
          <w:tab w:val="left" w:pos="567"/>
        </w:tabs>
        <w:ind w:left="567" w:hanging="567"/>
        <w:jc w:val="both"/>
        <w:rPr>
          <w:rFonts w:eastAsia="Times"/>
          <w:color w:val="auto"/>
        </w:rPr>
      </w:pPr>
      <w:r>
        <w:rPr>
          <w:rFonts w:eastAsia="Times"/>
          <w:color w:val="auto"/>
        </w:rPr>
        <w:t xml:space="preserve">[30]  </w:t>
      </w:r>
      <w:r w:rsidR="007A12E3" w:rsidRPr="007A12E3">
        <w:rPr>
          <w:rFonts w:eastAsia="Times"/>
          <w:color w:val="auto"/>
        </w:rPr>
        <w:t>M. Syafriel, “The Attributes of Personal Taxpayer’s Compliance in Indonesia”, Accountability Vol. 07 Number 02. Pp 48-63, 2018</w:t>
      </w:r>
    </w:p>
    <w:p w14:paraId="009187E1" w14:textId="4467CA86" w:rsidR="000A49D4" w:rsidRPr="000A49D4" w:rsidRDefault="007A12E3" w:rsidP="007A12E3">
      <w:pPr>
        <w:tabs>
          <w:tab w:val="left" w:pos="567"/>
        </w:tabs>
        <w:ind w:left="567" w:hanging="567"/>
        <w:jc w:val="both"/>
        <w:rPr>
          <w:color w:val="auto"/>
        </w:rPr>
      </w:pPr>
      <w:r w:rsidRPr="007A12E3">
        <w:rPr>
          <w:rFonts w:eastAsia="Times"/>
          <w:color w:val="auto"/>
        </w:rPr>
        <w:t xml:space="preserve">[31]    </w:t>
      </w:r>
      <w:r w:rsidR="00D37013">
        <w:rPr>
          <w:rFonts w:eastAsia="Times"/>
          <w:color w:val="auto"/>
        </w:rPr>
        <w:tab/>
      </w:r>
      <w:r w:rsidRPr="007A12E3">
        <w:rPr>
          <w:rFonts w:eastAsia="Times"/>
          <w:color w:val="auto"/>
        </w:rPr>
        <w:t>A. Pratama, “Individual Taxpayer Characteristics and Taxpayer Knowledge: Exploratory Survey on Individual Taxpayers in Bandung City”, Indonesia. Review of Integrative Business and Economics Research, Vol.7 pp. 338-349, 2018</w:t>
      </w:r>
    </w:p>
    <w:p w14:paraId="3B706268" w14:textId="6A16723E" w:rsidR="00274BE6" w:rsidRPr="000A49D4" w:rsidRDefault="00274BE6" w:rsidP="007A12E3">
      <w:pPr>
        <w:tabs>
          <w:tab w:val="left" w:pos="709"/>
        </w:tabs>
        <w:ind w:left="426" w:hanging="426"/>
        <w:jc w:val="both"/>
        <w:rPr>
          <w:color w:val="auto"/>
        </w:rPr>
      </w:pPr>
    </w:p>
    <w:sectPr w:rsidR="00274BE6" w:rsidRPr="000A49D4" w:rsidSect="00B17912">
      <w:footerReference w:type="default" r:id="rId9"/>
      <w:pgSz w:w="11907" w:h="16840"/>
      <w:pgMar w:top="2835" w:right="2155" w:bottom="2835" w:left="2155" w:header="709" w:footer="709"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ECBD84" w14:textId="77777777" w:rsidR="009B6571" w:rsidRDefault="009B6571">
      <w:r>
        <w:separator/>
      </w:r>
    </w:p>
  </w:endnote>
  <w:endnote w:type="continuationSeparator" w:id="0">
    <w:p w14:paraId="13425C69" w14:textId="77777777" w:rsidR="009B6571" w:rsidRDefault="009B6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Droid Sans Fallback">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9721AC" w14:textId="77777777" w:rsidR="00274BE6" w:rsidRDefault="00274BE6">
    <w:pPr>
      <w:jc w:val="both"/>
    </w:pPr>
  </w:p>
  <w:p w14:paraId="45F3A2DE" w14:textId="77777777" w:rsidR="00274BE6" w:rsidRDefault="00274BE6">
    <w:pPr>
      <w:jc w:val="both"/>
    </w:pPr>
  </w:p>
  <w:p w14:paraId="2EBC0141" w14:textId="77777777" w:rsidR="00274BE6" w:rsidRDefault="00274BE6">
    <w:pPr>
      <w:jc w:val="both"/>
    </w:pPr>
  </w:p>
  <w:p w14:paraId="7D88F5F3" w14:textId="77777777" w:rsidR="00274BE6" w:rsidRDefault="00274BE6">
    <w:pPr>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4DFF74" w14:textId="77777777" w:rsidR="009B6571" w:rsidRDefault="009B6571">
      <w:r>
        <w:separator/>
      </w:r>
    </w:p>
  </w:footnote>
  <w:footnote w:type="continuationSeparator" w:id="0">
    <w:p w14:paraId="559A8506" w14:textId="77777777" w:rsidR="009B6571" w:rsidRDefault="009B65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BE6"/>
    <w:rsid w:val="00011300"/>
    <w:rsid w:val="0007228C"/>
    <w:rsid w:val="000A49D4"/>
    <w:rsid w:val="000C61FC"/>
    <w:rsid w:val="000C7EAB"/>
    <w:rsid w:val="000F68EE"/>
    <w:rsid w:val="00166B55"/>
    <w:rsid w:val="001920AD"/>
    <w:rsid w:val="0020523A"/>
    <w:rsid w:val="002120E2"/>
    <w:rsid w:val="00266F90"/>
    <w:rsid w:val="00274BE6"/>
    <w:rsid w:val="00294928"/>
    <w:rsid w:val="00324C7A"/>
    <w:rsid w:val="0042530D"/>
    <w:rsid w:val="00431C31"/>
    <w:rsid w:val="00472F54"/>
    <w:rsid w:val="00570052"/>
    <w:rsid w:val="00586712"/>
    <w:rsid w:val="00684E8D"/>
    <w:rsid w:val="006C7BBC"/>
    <w:rsid w:val="006D2813"/>
    <w:rsid w:val="006F477D"/>
    <w:rsid w:val="00772799"/>
    <w:rsid w:val="007A12E3"/>
    <w:rsid w:val="008153B4"/>
    <w:rsid w:val="00824D1D"/>
    <w:rsid w:val="008823F3"/>
    <w:rsid w:val="009809A4"/>
    <w:rsid w:val="009B6571"/>
    <w:rsid w:val="009C28D0"/>
    <w:rsid w:val="00A1438B"/>
    <w:rsid w:val="00A224E9"/>
    <w:rsid w:val="00A87C52"/>
    <w:rsid w:val="00B17912"/>
    <w:rsid w:val="00B359FC"/>
    <w:rsid w:val="00B90915"/>
    <w:rsid w:val="00BB36D2"/>
    <w:rsid w:val="00BC6756"/>
    <w:rsid w:val="00BD1B15"/>
    <w:rsid w:val="00C25B0C"/>
    <w:rsid w:val="00C84E8B"/>
    <w:rsid w:val="00CA5F60"/>
    <w:rsid w:val="00CC7C14"/>
    <w:rsid w:val="00CD41EB"/>
    <w:rsid w:val="00D37013"/>
    <w:rsid w:val="00D53290"/>
    <w:rsid w:val="00D7685B"/>
    <w:rsid w:val="00E5306F"/>
    <w:rsid w:val="00E80E61"/>
    <w:rsid w:val="00EE2FCD"/>
    <w:rsid w:val="00F8701D"/>
    <w:rsid w:val="00FD3DB1"/>
    <w:rsid w:val="00FF6CA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C3490"/>
  <w15:docId w15:val="{EFE74636-E9F8-4184-B8A6-130B42C7D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70" w:type="dxa"/>
        <w:bottom w:w="0" w:type="dxa"/>
        <w:right w:w="70" w:type="dxa"/>
      </w:tblCellMar>
    </w:tblPr>
  </w:style>
  <w:style w:type="table" w:customStyle="1" w:styleId="a0">
    <w:basedOn w:val="TableNormal"/>
    <w:tblPr>
      <w:tblStyleRowBandSize w:val="1"/>
      <w:tblStyleColBandSize w:val="1"/>
      <w:tblInd w:w="0" w:type="dxa"/>
      <w:tblCellMar>
        <w:top w:w="0" w:type="dxa"/>
        <w:left w:w="70" w:type="dxa"/>
        <w:bottom w:w="0" w:type="dxa"/>
        <w:right w:w="70" w:type="dxa"/>
      </w:tblCellMar>
    </w:tblPr>
  </w:style>
  <w:style w:type="paragraph" w:customStyle="1" w:styleId="Standard">
    <w:name w:val="Standard"/>
    <w:rsid w:val="006D2813"/>
    <w:pPr>
      <w:suppressAutoHyphens/>
      <w:autoSpaceDN w:val="0"/>
      <w:textAlignment w:val="baseline"/>
    </w:pPr>
    <w:rPr>
      <w:rFonts w:ascii="Liberation Serif" w:eastAsia="Droid Sans Fallback" w:hAnsi="Liberation Serif" w:cs="Droid Sans Devanagari"/>
      <w:color w:val="auto"/>
      <w:kern w:val="3"/>
      <w:sz w:val="24"/>
      <w:szCs w:val="24"/>
      <w:lang w:val="en-US" w:eastAsia="zh-CN" w:bidi="hi-IN"/>
    </w:rPr>
  </w:style>
  <w:style w:type="paragraph" w:styleId="ListParagraph">
    <w:name w:val="List Paragraph"/>
    <w:basedOn w:val="Normal"/>
    <w:uiPriority w:val="34"/>
    <w:qFormat/>
    <w:rsid w:val="00C25B0C"/>
    <w:pPr>
      <w:spacing w:after="160" w:line="259" w:lineRule="auto"/>
      <w:ind w:left="720"/>
      <w:contextualSpacing/>
    </w:pPr>
    <w:rPr>
      <w:rFonts w:asciiTheme="minorHAnsi" w:eastAsiaTheme="minorHAnsi" w:hAnsiTheme="minorHAnsi" w:cstheme="minorBidi"/>
      <w:color w:val="auto"/>
      <w:sz w:val="22"/>
      <w:szCs w:val="22"/>
      <w:lang w:val="en-US" w:eastAsia="en-US"/>
    </w:rPr>
  </w:style>
  <w:style w:type="paragraph" w:styleId="Header">
    <w:name w:val="header"/>
    <w:basedOn w:val="Normal"/>
    <w:link w:val="HeaderChar"/>
    <w:uiPriority w:val="99"/>
    <w:unhideWhenUsed/>
    <w:rsid w:val="00FF6CA6"/>
    <w:pPr>
      <w:tabs>
        <w:tab w:val="center" w:pos="4680"/>
        <w:tab w:val="right" w:pos="9360"/>
      </w:tabs>
    </w:pPr>
  </w:style>
  <w:style w:type="character" w:customStyle="1" w:styleId="HeaderChar">
    <w:name w:val="Header Char"/>
    <w:basedOn w:val="DefaultParagraphFont"/>
    <w:link w:val="Header"/>
    <w:uiPriority w:val="99"/>
    <w:rsid w:val="00FF6CA6"/>
  </w:style>
  <w:style w:type="paragraph" w:styleId="Footer">
    <w:name w:val="footer"/>
    <w:basedOn w:val="Normal"/>
    <w:link w:val="FooterChar"/>
    <w:uiPriority w:val="99"/>
    <w:unhideWhenUsed/>
    <w:rsid w:val="00FF6CA6"/>
    <w:pPr>
      <w:tabs>
        <w:tab w:val="center" w:pos="4680"/>
        <w:tab w:val="right" w:pos="9360"/>
      </w:tabs>
    </w:pPr>
  </w:style>
  <w:style w:type="character" w:customStyle="1" w:styleId="FooterChar">
    <w:name w:val="Footer Char"/>
    <w:basedOn w:val="DefaultParagraphFont"/>
    <w:link w:val="Footer"/>
    <w:uiPriority w:val="99"/>
    <w:rsid w:val="00FF6CA6"/>
  </w:style>
  <w:style w:type="character" w:styleId="Strong">
    <w:name w:val="Strong"/>
    <w:basedOn w:val="DefaultParagraphFont"/>
    <w:uiPriority w:val="22"/>
    <w:qFormat/>
    <w:rsid w:val="00B909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471942">
      <w:bodyDiv w:val="1"/>
      <w:marLeft w:val="0"/>
      <w:marRight w:val="0"/>
      <w:marTop w:val="0"/>
      <w:marBottom w:val="0"/>
      <w:divBdr>
        <w:top w:val="none" w:sz="0" w:space="0" w:color="auto"/>
        <w:left w:val="none" w:sz="0" w:space="0" w:color="auto"/>
        <w:bottom w:val="none" w:sz="0" w:space="0" w:color="auto"/>
        <w:right w:val="none" w:sz="0" w:space="0" w:color="auto"/>
      </w:divBdr>
    </w:div>
    <w:div w:id="1524048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10</Pages>
  <Words>3652</Words>
  <Characters>20817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Ariesto Narindro</dc:creator>
  <cp:lastModifiedBy>Ariesto Narindro</cp:lastModifiedBy>
  <cp:revision>14</cp:revision>
  <dcterms:created xsi:type="dcterms:W3CDTF">2020-07-28T22:11:00Z</dcterms:created>
  <dcterms:modified xsi:type="dcterms:W3CDTF">2020-07-28T23:44:00Z</dcterms:modified>
</cp:coreProperties>
</file>