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16" w:rsidRPr="00191FEB" w:rsidRDefault="007E2116" w:rsidP="000E54F0">
      <w:pPr>
        <w:jc w:val="center"/>
        <w:rPr>
          <w:b/>
          <w:sz w:val="24"/>
          <w:szCs w:val="24"/>
        </w:rPr>
      </w:pPr>
      <w:r w:rsidRPr="00191FEB">
        <w:rPr>
          <w:b/>
          <w:sz w:val="24"/>
          <w:szCs w:val="24"/>
        </w:rPr>
        <w:t xml:space="preserve">Analysis of Content and Discourse on Character Education in High School History Textbooks on Islamic History Materials </w:t>
      </w:r>
    </w:p>
    <w:p w:rsidR="007E2116" w:rsidRPr="00191FEB" w:rsidRDefault="007E2116" w:rsidP="000E54F0">
      <w:pPr>
        <w:rPr>
          <w:b/>
          <w:sz w:val="24"/>
          <w:szCs w:val="24"/>
        </w:rPr>
      </w:pPr>
    </w:p>
    <w:p w:rsidR="007E2116" w:rsidRPr="00191FEB" w:rsidRDefault="007E2116" w:rsidP="000E54F0">
      <w:pPr>
        <w:jc w:val="center"/>
        <w:rPr>
          <w:sz w:val="24"/>
          <w:szCs w:val="24"/>
        </w:rPr>
      </w:pPr>
      <w:r w:rsidRPr="00191FEB">
        <w:rPr>
          <w:sz w:val="24"/>
          <w:szCs w:val="24"/>
        </w:rPr>
        <w:t>Lutfiah Ayundasari, Rica Filasari, Ulfatun Nafi'ah, Najib Jauhari</w:t>
      </w:r>
    </w:p>
    <w:p w:rsidR="007E2116" w:rsidRPr="00191FEB" w:rsidRDefault="007E2116" w:rsidP="000E54F0">
      <w:pPr>
        <w:jc w:val="center"/>
        <w:rPr>
          <w:sz w:val="24"/>
          <w:szCs w:val="24"/>
        </w:rPr>
      </w:pPr>
    </w:p>
    <w:p w:rsidR="007E2116" w:rsidRPr="00191FEB" w:rsidRDefault="007E2116" w:rsidP="000E54F0">
      <w:pPr>
        <w:jc w:val="center"/>
        <w:rPr>
          <w:sz w:val="24"/>
          <w:szCs w:val="24"/>
        </w:rPr>
      </w:pPr>
      <w:r w:rsidRPr="00191FEB">
        <w:rPr>
          <w:sz w:val="24"/>
          <w:szCs w:val="24"/>
        </w:rPr>
        <w:t>Abstract</w:t>
      </w:r>
    </w:p>
    <w:p w:rsidR="007E2116" w:rsidRPr="00191FEB" w:rsidRDefault="007E2116" w:rsidP="000E54F0">
      <w:pPr>
        <w:ind w:left="1276" w:right="1138"/>
        <w:jc w:val="both"/>
        <w:rPr>
          <w:sz w:val="24"/>
          <w:szCs w:val="24"/>
        </w:rPr>
      </w:pPr>
      <w:r w:rsidRPr="00191FEB">
        <w:rPr>
          <w:sz w:val="24"/>
          <w:szCs w:val="24"/>
        </w:rPr>
        <w:t>This study aims to analyze the content and discourse of character education in high school history textbooks on Islamic history material. This goal is motivated by concern for the tendency to diminish historical awareness about the socio-cultural process that accompanies the development of Islam in Indonesia so that it leads to the spread of radicalism in various circles. Through a study of its content, an understanding of the weaknesses and strengths of history textbooks will be obtained by high school students so that improvements can be made for the success of the golden generation of 2045. The research method used is a</w:t>
      </w:r>
      <w:r w:rsidR="005D5293">
        <w:rPr>
          <w:sz w:val="24"/>
          <w:szCs w:val="24"/>
        </w:rPr>
        <w:t> </w:t>
      </w:r>
      <w:r w:rsidRPr="00191FEB">
        <w:rPr>
          <w:sz w:val="24"/>
          <w:szCs w:val="24"/>
        </w:rPr>
        <w:t>combination</w:t>
      </w:r>
      <w:r w:rsidR="005D5293">
        <w:rPr>
          <w:sz w:val="24"/>
          <w:szCs w:val="24"/>
        </w:rPr>
        <w:t xml:space="preserve"> </w:t>
      </w:r>
      <w:r w:rsidR="001836E4" w:rsidRPr="001836E4">
        <w:rPr>
          <w:color w:val="auto"/>
          <w:sz w:val="24"/>
          <w:szCs w:val="24"/>
        </w:rPr>
        <w:t>two types of textbook analysis approaches namely didactic and content analysis. The results of this study indicate that in Indonesian Islamic history material textbooks do not contain the content needed to understand history holistically, the material is still developed based on the perspective of political history. While the most dominant character content is nationalism and friendly / communicative, on the other hand there is a character content that is actually needed but there is no discipline, love peace, love to read, and care for the environment.</w:t>
      </w:r>
    </w:p>
    <w:p w:rsidR="007E2116" w:rsidRPr="00191FEB" w:rsidRDefault="007E2116" w:rsidP="000E54F0">
      <w:pPr>
        <w:rPr>
          <w:b/>
          <w:sz w:val="24"/>
          <w:szCs w:val="24"/>
        </w:rPr>
      </w:pPr>
    </w:p>
    <w:p w:rsidR="007E2116" w:rsidRDefault="005D5293" w:rsidP="000E54F0">
      <w:pPr>
        <w:rPr>
          <w:b/>
          <w:sz w:val="24"/>
          <w:szCs w:val="24"/>
        </w:rPr>
      </w:pPr>
      <w:r>
        <w:rPr>
          <w:b/>
          <w:sz w:val="24"/>
          <w:szCs w:val="24"/>
        </w:rPr>
        <w:t>Introduction</w:t>
      </w:r>
      <w:bookmarkStart w:id="0" w:name="_GoBack"/>
      <w:bookmarkEnd w:id="0"/>
    </w:p>
    <w:p w:rsidR="0096329D" w:rsidRDefault="00871486" w:rsidP="00573A84">
      <w:pPr>
        <w:jc w:val="both"/>
        <w:rPr>
          <w:sz w:val="24"/>
          <w:szCs w:val="24"/>
        </w:rPr>
      </w:pPr>
      <w:r>
        <w:rPr>
          <w:sz w:val="24"/>
          <w:szCs w:val="24"/>
        </w:rPr>
        <w:t>Textbooks are an important component in the learning process that embodies the curriculum which is often a representation of battles and compromises in politics, culture, economics and politics</w:t>
      </w:r>
      <w:r w:rsidR="002A320C">
        <w:rPr>
          <w:sz w:val="24"/>
          <w:szCs w:val="24"/>
        </w:rPr>
        <w:fldChar w:fldCharType="begin" w:fldLock="1"/>
      </w:r>
      <w:r w:rsidR="002A320C">
        <w:rPr>
          <w:sz w:val="24"/>
          <w:szCs w:val="24"/>
        </w:rPr>
        <w:instrText>ADDIN CSL_CITATION {"citationItems":[{"id":"ITEM-1","itemData":{"DOI":"10.3167/jemms.2010.020109","ISSN":"20416938","abstract":"This article traces the developments within history textbook research as presented at the 2009 conference of the International Society for History Didactics (ISHD), held in cooperation with the Georg Eckert Institute for International Textbook Research in Braunschweig, Germany. The article claims that significant developments reveal school historiography to be a challenged area for history didactics. Key concepts and theoretical frames require further discussion in order to develop history didactics not only as an area for social and political responsibilities but also as a theoretical discipline. © GEI.","author":[{"dropping-particle":"","family":"Repoussi","given":"Maria","non-dropping-particle":"","parse-names":false,"suffix":""},{"dropping-particle":"","family":"Tutiaux-Guillon","given":"Nicole","non-dropping-particle":"","parse-names":false,"suffix":""}],"container-title":"Journal of Educational Media, Memory, and Society","id":"ITEM-1","issue":"1","issued":{"date-parts":[["2010"]]},"page":"154-170","title":"New trends in history textbook research: Issues and methodologies toward a school historiography","type":"article-journal","volume":"2"},"uris":["http://www.mendeley.com/documents/?uuid=3324f3c5-f294-4537-ba71-fe966b79ba56"]}],"mendeley":{"formattedCitation":"[1]","plainTextFormattedCitation":"[1]","previouslyFormattedCitation":"[1]"},"properties":{"noteIndex":0},"schema":"https://github.com/citation-style-language/schema/raw/master/csl-citation.json"}</w:instrText>
      </w:r>
      <w:r w:rsidR="002A320C">
        <w:rPr>
          <w:sz w:val="24"/>
          <w:szCs w:val="24"/>
        </w:rPr>
        <w:fldChar w:fldCharType="separate"/>
      </w:r>
      <w:r w:rsidR="002A320C" w:rsidRPr="002A320C">
        <w:rPr>
          <w:noProof/>
          <w:sz w:val="24"/>
          <w:szCs w:val="24"/>
        </w:rPr>
        <w:t>[1]</w:t>
      </w:r>
      <w:r w:rsidR="002A320C">
        <w:rPr>
          <w:sz w:val="24"/>
          <w:szCs w:val="24"/>
        </w:rPr>
        <w:fldChar w:fldCharType="end"/>
      </w:r>
      <w:r w:rsidR="003E56F2">
        <w:rPr>
          <w:sz w:val="24"/>
          <w:szCs w:val="24"/>
        </w:rPr>
        <w:fldChar w:fldCharType="begin" w:fldLock="1"/>
      </w:r>
      <w:r w:rsidR="004E0C58">
        <w:rPr>
          <w:sz w:val="24"/>
          <w:szCs w:val="24"/>
        </w:rPr>
        <w:instrText>ADDIN CSL_CITATION {"citationItems":[{"id":"ITEM-1","itemData":{"author":[{"dropping-particle":"","family":"Crawford","given":"Keith","non-dropping-particle":"","parse-names":false,"suffix":""}],"id":"ITEM-1","issued":{"date-parts":[["1993"]]},"page":"1-8","title":"Researching the Ideological and Political Role of the History Textbook - Issues and Methods","type":"article-journal"},"uris":["http://www.mendeley.com/documents/?uuid=af847dc0-84f8-4f8a-9ecb-a5e78808dd86"]}],"mendeley":{"formattedCitation":"[2]","plainTextFormattedCitation":"[2]","previouslyFormattedCitation":"[2]"},"properties":{"noteIndex":0},"schema":"https://github.com/citation-style-language/schema/raw/master/csl-citation.json"}</w:instrText>
      </w:r>
      <w:r w:rsidR="003E56F2">
        <w:rPr>
          <w:sz w:val="24"/>
          <w:szCs w:val="24"/>
        </w:rPr>
        <w:fldChar w:fldCharType="separate"/>
      </w:r>
      <w:r w:rsidR="003E56F2" w:rsidRPr="003E56F2">
        <w:rPr>
          <w:noProof/>
          <w:sz w:val="24"/>
          <w:szCs w:val="24"/>
        </w:rPr>
        <w:t>[2]</w:t>
      </w:r>
      <w:r w:rsidR="003E56F2">
        <w:rPr>
          <w:sz w:val="24"/>
          <w:szCs w:val="24"/>
        </w:rPr>
        <w:fldChar w:fldCharType="end"/>
      </w:r>
      <w:r w:rsidR="002A320C">
        <w:rPr>
          <w:sz w:val="24"/>
          <w:szCs w:val="24"/>
        </w:rPr>
        <w:t>. Some of its functions include as a primary learning source, a complementary source, and inspiration for learning activities</w:t>
      </w:r>
      <w:r w:rsidR="00573A84">
        <w:rPr>
          <w:sz w:val="24"/>
          <w:szCs w:val="24"/>
        </w:rPr>
        <w:fldChar w:fldCharType="begin" w:fldLock="1"/>
      </w:r>
      <w:r w:rsidR="003E56F2">
        <w:rPr>
          <w:sz w:val="24"/>
          <w:szCs w:val="24"/>
        </w:rPr>
        <w:instrText>ADDIN CSL_CITATION {"citationItems":[{"id":"ITEM-1","itemData":{"ISSN":"0306-4492","abstract":"CENTER FOR APPLIED LINGUISTICS • ERIC CLEARINGHOUSE ON LANGUAGES AND LINGUISTICS • 4646 40TH ST NW • WASHINGTON DC 20016-1859 • 202-362-0700 The question of whether and how to use textbooks in teaching English as a second language (ESL) has long been debated among professionals in the field. However, even with the development of new technologies that allow for higher quality teacher-file:///C:/Users/lenovo/Downloads/eclectic checklist.pdfgenerated material, demand for textbooks continues to grow, and the publish-ing industry responds with new series and textbooks each year. A textbook can serve different purposes for teachers: as a core resource, as a source of supplemental material, as an inspiration for classroom activities, even as the curriculum itself. Researchers have advocated a variety of approaches to textbook selection (Cunningsworth, 1984; Sheldon, 1988; Skierso, 1991; Ur, 1996), but in practice, the process is often based on personal preference and may be affected by factors unrelated to pedagogy. These may include limited awareness of avail-able texts, budget restrictions, and limited availability of some text-books. Educators may face a shortage of time and knowledge on the subject, and many previously published checklists for textbook se-lection are too time consuming to be feasible. Yet with a little addi-tional consideration and attention, the selection process can be enhanced and the outcomes for learners who will use the texts im-proved. A practical, thorough, and straightforward method for choosing ESL textbooks is to analyze the options according to program issues, going from broad (e.g., goals and curriculum) to specific (e.g., exer-cises and activities). The strategy behind this technique is to elimi-nate unsatisfactory textbooks at each stage of analysis so that only the most appropriate are left at the end, making the choice clear and manageable. Matching the Textbook to the Program and the Course Prior to selecting a textbook, educators should thoroughly exam-ine the program curriculum. If the goals and curriculum of the pro-gram are clear and well defined, the parallels with certain textbooks may become obvious. For example, if one of the goals of the program is to give students an opportunity to interact with authentic texts, then books that use articles written for native English speakers would be appropriate. If the program focuses on developing reading flu-ency, books designed to support the development of reading skills w…","author":[{"dropping-particle":"","family":"Garinger","given":"Dawn","non-dropping-particle":"","parse-names":false,"suffix":""}],"container-title":"CAL Digests","id":"ITEM-1","issue":"December 2002","issued":{"date-parts":[["2002"]]},"page":"3","title":"Textbook Selection for the ESL Classroom","type":"article-journal"},"uris":["http://www.mendeley.com/documents/?uuid=b9e57491-adfd-4594-8357-b93f8f261682"]}],"mendeley":{"formattedCitation":"[3]","plainTextFormattedCitation":"[3]","previouslyFormattedCitation":"[3]"},"properties":{"noteIndex":0},"schema":"https://github.com/citation-style-language/schema/raw/master/csl-citation.json"}</w:instrText>
      </w:r>
      <w:r w:rsidR="00573A84">
        <w:rPr>
          <w:sz w:val="24"/>
          <w:szCs w:val="24"/>
        </w:rPr>
        <w:fldChar w:fldCharType="separate"/>
      </w:r>
      <w:r w:rsidR="003E56F2" w:rsidRPr="003E56F2">
        <w:rPr>
          <w:noProof/>
          <w:sz w:val="24"/>
          <w:szCs w:val="24"/>
        </w:rPr>
        <w:t>[3]</w:t>
      </w:r>
      <w:r w:rsidR="00573A84">
        <w:rPr>
          <w:sz w:val="24"/>
          <w:szCs w:val="24"/>
        </w:rPr>
        <w:fldChar w:fldCharType="end"/>
      </w:r>
      <w:r w:rsidR="00573A84">
        <w:rPr>
          <w:sz w:val="24"/>
          <w:szCs w:val="24"/>
        </w:rPr>
        <w:t>. In addition, textbooks are also declared capable of forming students' whole human views and building peace</w:t>
      </w:r>
      <w:r w:rsidR="00D26B58">
        <w:rPr>
          <w:sz w:val="24"/>
          <w:szCs w:val="24"/>
        </w:rPr>
        <w:fldChar w:fldCharType="begin" w:fldLock="1"/>
      </w:r>
      <w:r w:rsidR="003E56F2">
        <w:rPr>
          <w:sz w:val="24"/>
          <w:szCs w:val="24"/>
        </w:rPr>
        <w:instrText>ADDIN CSL_CITATION {"citationItems":[{"id":"ITEM-1","itemData":{"ISSN":"13063065","abstract":"The relevance of the study is conditioned by the changes in the content of socio-humanitarian education, aimed at the acquisition of knowledge, the development of tolerance, civic and moral education. The purpose of the paper is to identify the modern functions of a textbook on social sciences and humanities as an informational management tool of university education. The leading approach to the study is the functional-oriented approach, allowing identifying the functions of information objects and objective criteria for their evaluation. The study involves 350 teachers, 350 students who have expressed their demands to the functions of textbooks on social sciences and humanities, participated in the selection of the most effective books. The main results of the study are to identify the characteristic features (including in the contents of the scientific material in accordance with the teaching, educational, developing educational objectives, consistent and systematic knowledge presentation, the figurative representation of the educational material, the availability of multiple questions of different levels for self-control and Exercises for independent work) publications features (multilevel system of different types of books editions), functions (adaptation, systematizing, methodical, ideological, managerial) textbooks on social sciences and humanities. The significance of the results obtained is that the revealed characteristic features of the textbooks provide the unity of logical and rational, artistic and imaginative ways of presentation of knowledge; publications’ characteristic features - compliance with the requirements of state educational standards, training, educational, developmental objectives of the educational curricula, didactics of university education; functions - integration of cognitive, research and professional activities of students. Identified features of a textbook on social and humanitarian disciplines contribute to the formation of the students’ holistic humanitarian view of the world and reliability of higher education, which manifests itself in the awareness of the objective laws of the functioning society and its development trends.","author":[{"dropping-particle":"","family":"Nikonova","given":"Elina I.","non-dropping-particle":"","parse-names":false,"suffix":""},{"dropping-particle":"","family":"Sharonov","given":"Ivan A.","non-dropping-particle":"","parse-names":false,"suffix":""},{"dropping-particle":"","family":"Sorokoumova","given":"Svetlana N.","non-dropping-particle":"","parse-names":false,"suffix":""},{"dropping-particle":"V.","family":"Suvorova","given":"Olga","non-dropping-particle":"","parse-names":false,"suffix":""},{"dropping-particle":"","family":"Sorokoumova","given":"Elena A.","non-dropping-particle":"","parse-names":false,"suffix":""}],"container-title":"International Journal of Environmental and Science Education","id":"ITEM-1","issue":"10","issued":{"date-parts":[["2016"]]},"page":"3764-3774","title":"Modern functions of a textbook on social sciences and humanities as an informational management tool of university education","type":"article-journal","volume":"11"},"uris":["http://www.mendeley.com/documents/?uuid=f07ac38a-8560-4a31-8fce-304f44df992e"]}],"mendeley":{"formattedCitation":"[4]","plainTextFormattedCitation":"[4]","previouslyFormattedCitation":"[4]"},"properties":{"noteIndex":0},"schema":"https://github.com/citation-style-language/schema/raw/master/csl-citation.json"}</w:instrText>
      </w:r>
      <w:r w:rsidR="00D26B58">
        <w:rPr>
          <w:sz w:val="24"/>
          <w:szCs w:val="24"/>
        </w:rPr>
        <w:fldChar w:fldCharType="separate"/>
      </w:r>
      <w:r w:rsidR="003E56F2" w:rsidRPr="003E56F2">
        <w:rPr>
          <w:noProof/>
          <w:sz w:val="24"/>
          <w:szCs w:val="24"/>
        </w:rPr>
        <w:t>[4]</w:t>
      </w:r>
      <w:r w:rsidR="00D26B58">
        <w:rPr>
          <w:sz w:val="24"/>
          <w:szCs w:val="24"/>
        </w:rPr>
        <w:fldChar w:fldCharType="end"/>
      </w:r>
      <w:r w:rsidR="00351038">
        <w:rPr>
          <w:sz w:val="24"/>
          <w:szCs w:val="24"/>
        </w:rPr>
        <w:fldChar w:fldCharType="begin" w:fldLock="1"/>
      </w:r>
      <w:r w:rsidR="003E56F2">
        <w:rPr>
          <w:sz w:val="24"/>
          <w:szCs w:val="24"/>
        </w:rPr>
        <w:instrText>ADDIN CSL_CITATION {"citationItems":[{"id":"ITEM-1","itemData":{"DOI":"10.1353/ham.0.0017","ISSN":"15271994","abstract":"Powerful collective memories-whether real or concocted- often lie at the root of conflicts, nationalism and cultural identities. In most societies, history textbooks are the \"agents of memory\" and function as a sort of \"supreme historical court.\" This article reviews initially how controversies over history textbooks have become sources of conflict in East Asia and then examines the activities of a trilateral history textbook writing project between China, Japan and the Republic of Korea. It also aims to contribute to the theoretical discussion about why history textbooks are worth fighting over and how joint history textbook writing can be used as a means for peacebuilding.","author":[{"dropping-particle":"","family":"Wang","given":"Zheng","non-dropping-particle":"","parse-names":false,"suffix":""}],"container-title":"History and Memory","id":"ITEM-1","issue":"1","issued":{"date-parts":[["2009"]]},"page":"101-126","title":"Old wounds, new narratives : Joint history textbook writing and peacebuilding in East Asia","type":"article-journal","volume":"21"},"uris":["http://www.mendeley.com/documents/?uuid=8ff51359-a9a4-4217-bab4-befec9acac07"]}],"mendeley":{"formattedCitation":"[5]","plainTextFormattedCitation":"[5]","previouslyFormattedCitation":"[5]"},"properties":{"noteIndex":0},"schema":"https://github.com/citation-style-language/schema/raw/master/csl-citation.json"}</w:instrText>
      </w:r>
      <w:r w:rsidR="00351038">
        <w:rPr>
          <w:sz w:val="24"/>
          <w:szCs w:val="24"/>
        </w:rPr>
        <w:fldChar w:fldCharType="separate"/>
      </w:r>
      <w:r w:rsidR="003E56F2" w:rsidRPr="003E56F2">
        <w:rPr>
          <w:noProof/>
          <w:sz w:val="24"/>
          <w:szCs w:val="24"/>
        </w:rPr>
        <w:t>[5]</w:t>
      </w:r>
      <w:r w:rsidR="00351038">
        <w:rPr>
          <w:sz w:val="24"/>
          <w:szCs w:val="24"/>
        </w:rPr>
        <w:fldChar w:fldCharType="end"/>
      </w:r>
      <w:r w:rsidR="00573A84">
        <w:rPr>
          <w:sz w:val="24"/>
          <w:szCs w:val="24"/>
        </w:rPr>
        <w:t>. Before the digital era text books were the only source of learning that was used uniformly throughout Indonesia, whose management and preparation was under the control of the Ministry of Education and Culture.</w:t>
      </w:r>
    </w:p>
    <w:p w:rsidR="001C422F" w:rsidRDefault="00351038" w:rsidP="0096329D">
      <w:pPr>
        <w:ind w:firstLine="567"/>
        <w:jc w:val="both"/>
        <w:rPr>
          <w:sz w:val="24"/>
          <w:szCs w:val="24"/>
        </w:rPr>
      </w:pPr>
      <w:r>
        <w:rPr>
          <w:sz w:val="24"/>
          <w:szCs w:val="24"/>
        </w:rPr>
        <w:t>In history textbooks, the narratives that emerge are closely related to political interest, ideology, author's background, and educational standards, so they are often regarded as the highest memory and court of history agents.</w:t>
      </w:r>
      <w:r>
        <w:rPr>
          <w:sz w:val="24"/>
          <w:szCs w:val="24"/>
        </w:rPr>
        <w:fldChar w:fldCharType="begin" w:fldLock="1"/>
      </w:r>
      <w:r w:rsidR="003E56F2">
        <w:rPr>
          <w:sz w:val="24"/>
          <w:szCs w:val="24"/>
        </w:rPr>
        <w:instrText>ADDIN CSL_CITATION {"citationItems":[{"id":"ITEM-1","itemData":{"DOI":"10.1353/ham.0.0017","ISSN":"15271994","abstract":"Powerful collective memories-whether real or concocted- often lie at the root of conflicts, nationalism and cultural identities. In most societies, history textbooks are the \"agents of memory\" and function as a sort of \"supreme historical court.\" This article reviews initially how controversies over history textbooks have become sources of conflict in East Asia and then examines the activities of a trilateral history textbook writing project between China, Japan and the Republic of Korea. It also aims to contribute to the theoretical discussion about why history textbooks are worth fighting over and how joint history textbook writing can be used as a means for peacebuilding.","author":[{"dropping-particle":"","family":"Wang","given":"Zheng","non-dropping-particle":"","parse-names":false,"suffix":""}],"container-title":"History and Memory","id":"ITEM-1","issue":"1","issued":{"date-parts":[["2009"]]},"page":"101-126","title":"Old wounds, new narratives : Joint history textbook writing and peacebuilding in East Asia","type":"article-journal","volume":"21"},"uris":["http://www.mendeley.com/documents/?uuid=8ff51359-a9a4-4217-bab4-befec9acac07"]}],"mendeley":{"formattedCitation":"[5]","plainTextFormattedCitation":"[5]","previouslyFormattedCitation":"[5]"},"properties":{"noteIndex":0},"schema":"https://github.com/citation-style-language/schema/raw/master/csl-citation.json"}</w:instrText>
      </w:r>
      <w:r>
        <w:rPr>
          <w:sz w:val="24"/>
          <w:szCs w:val="24"/>
        </w:rPr>
        <w:fldChar w:fldCharType="separate"/>
      </w:r>
      <w:r w:rsidR="003E56F2" w:rsidRPr="003E56F2">
        <w:rPr>
          <w:noProof/>
          <w:sz w:val="24"/>
          <w:szCs w:val="24"/>
        </w:rPr>
        <w:t>[5]</w:t>
      </w:r>
      <w:r>
        <w:rPr>
          <w:sz w:val="24"/>
          <w:szCs w:val="24"/>
        </w:rPr>
        <w:fldChar w:fldCharType="end"/>
      </w:r>
      <w:r w:rsidR="008954C3">
        <w:rPr>
          <w:sz w:val="24"/>
          <w:szCs w:val="24"/>
        </w:rPr>
        <w:fldChar w:fldCharType="begin" w:fldLock="1"/>
      </w:r>
      <w:r w:rsidR="003E56F2">
        <w:rPr>
          <w:sz w:val="24"/>
          <w:szCs w:val="24"/>
        </w:rPr>
        <w:instrText>ADDIN CSL_CITATION {"citationItems":[{"id":"ITEM-1","itemData":{"DOI":"10.1177/0002716207313087","ISSN":"00027162","abstract":"International school textbook revision and research became a professional academic activity after the First World War. It broadened its scope and methodological approaches considerably after the collapse of the bipolar world. Today, a number of different agencies, such as international governmental institutions, NGOs, and academic as well as pedagogical institutions, are involved in projects on the revision of history teaching in postconflict societies. This article examines the pros and cons of different project designs, focusing on the sometimes contradictory aims projects are expected to achieve and on the interplay between the various agencies. Examples highlighting the reconstruction and reconciliation process are taken from Bosnia and Herzegovina, Israel-Palestine, and Rwanda and South Africa.","author":[{"dropping-particle":"","family":"Pingel","given":"Falk","non-dropping-particle":"","parse-names":false,"suffix":""}],"container-title":"Annals of the American Academy of Political and Social Science","id":"ITEM-1","issue":"1","issued":{"date-parts":[["2008"]]},"page":"181-198","title":"Can truth be negotiated? History textbook revision as a means to reconciliation","type":"article-journal","volume":"617"},"uris":["http://www.mendeley.com/documents/?uuid=e27a1158-6607-468c-ab57-affb03e0ed59"]}],"mendeley":{"formattedCitation":"[6]","plainTextFormattedCitation":"[6]","previouslyFormattedCitation":"[6]"},"properties":{"noteIndex":0},"schema":"https://github.com/citation-style-language/schema/raw/master/csl-citation.json"}</w:instrText>
      </w:r>
      <w:r w:rsidR="008954C3">
        <w:rPr>
          <w:sz w:val="24"/>
          <w:szCs w:val="24"/>
        </w:rPr>
        <w:fldChar w:fldCharType="separate"/>
      </w:r>
      <w:r w:rsidR="003E56F2" w:rsidRPr="003E56F2">
        <w:rPr>
          <w:noProof/>
          <w:sz w:val="24"/>
          <w:szCs w:val="24"/>
        </w:rPr>
        <w:t>[6]</w:t>
      </w:r>
      <w:r w:rsidR="008954C3">
        <w:rPr>
          <w:sz w:val="24"/>
          <w:szCs w:val="24"/>
        </w:rPr>
        <w:fldChar w:fldCharType="end"/>
      </w:r>
      <w:r>
        <w:rPr>
          <w:sz w:val="24"/>
          <w:szCs w:val="24"/>
        </w:rPr>
        <w:t>. Although he once held a central position in education, but now his existence has begun to be questioned by the presence of various learning resources that are more attractive both print and electronic. In addition, the use of textbooks is traditional and only accommodates the need for low- and middle-level understanding, not for high-level understanding</w:t>
      </w:r>
      <w:r w:rsidR="001932C6">
        <w:rPr>
          <w:sz w:val="24"/>
          <w:szCs w:val="24"/>
        </w:rPr>
        <w:fldChar w:fldCharType="begin" w:fldLock="1"/>
      </w:r>
      <w:r w:rsidR="003E56F2">
        <w:rPr>
          <w:sz w:val="24"/>
          <w:szCs w:val="24"/>
        </w:rPr>
        <w:instrText>ADDIN CSL_CITATION {"citationItems":[{"id":"ITEM-1","itemData":{"DOI":"10.1016/j.compedu.2017.11.005","ISSN":"03601315","abstract":"While textbooks are crucial to learning in the traditional classroom-based setting, their role in e-learning environment might be different. Through a categorical analysis, this study investigates if the currently available learning resources provided by textbooks are suitable for e-learning purpose. An e-learning framework incorporating different stages of learning and usage of learning resources was first developed as a guide. Then, a sample of learning resources that came with 100 commonly used textbooks in the disciplines of logistics/supply chain management and information systems were classified using the framework. To corroborate the classification, cluster analysis was also conducted to identify major clusters of learning resources along two dimensions - complexity of content and ease of use. The findings show that most of the sampled textbook learning resources are only suitable for low-order to mid-order learning according to the revised Bloom's taxonomy. The majority of the resources investigated lack the sophistication and complexity to support high-order learning that involves a great deal of interaction and collaboration among learners and facilitators on e-learning platforms. In other words, existing textbook learning resources might contribute well to self-regulated low-order and mid-order e-learning involving basic to intermediate cognitive processes, such as remembering, understanding, applying and analysing. They are generally ill-designed to facilitate high-order e-learning involving advanced cognitive processes, such as evaluating and creating, which require extensive interaction and collaboration among learners and facilitators in an e-learning environment.","author":[{"dropping-particle":"","family":"Lau","given":"Kwok Hung","non-dropping-particle":"","parse-names":false,"suffix":""},{"dropping-particle":"","family":"Lam","given":"Tri","non-dropping-particle":"","parse-names":false,"suffix":""},{"dropping-particle":"","family":"Kam","given":"Booi Hon","non-dropping-particle":"","parse-names":false,"suffix":""},{"dropping-particle":"","family":"Nkhoma","given":"Mathews","non-dropping-particle":"","parse-names":false,"suffix":""},{"dropping-particle":"","family":"Richardson","given":"Joan","non-dropping-particle":"","parse-names":false,"suffix":""},{"dropping-particle":"","family":"Thomas","given":"Susan","non-dropping-particle":"","parse-names":false,"suffix":""}],"container-title":"Computers and Education","id":"ITEM-1","issued":{"date-parts":[["2018"]]},"page":"10-24","publisher":"Elsevier Ltd","title":"The role of textbook learning resources in e-learning: A taxonomic study","type":"article-journal","volume":"118"},"uris":["http://www.mendeley.com/documents/?uuid=5dfaf515-ee7b-4f2c-bd82-34c8e58e17ea"]}],"mendeley":{"formattedCitation":"[7]","plainTextFormattedCitation":"[7]","previouslyFormattedCitation":"[7]"},"properties":{"noteIndex":0},"schema":"https://github.com/citation-style-language/schema/raw/master/csl-citation.json"}</w:instrText>
      </w:r>
      <w:r w:rsidR="001932C6">
        <w:rPr>
          <w:sz w:val="24"/>
          <w:szCs w:val="24"/>
        </w:rPr>
        <w:fldChar w:fldCharType="separate"/>
      </w:r>
      <w:r w:rsidR="003E56F2" w:rsidRPr="003E56F2">
        <w:rPr>
          <w:noProof/>
          <w:sz w:val="24"/>
          <w:szCs w:val="24"/>
        </w:rPr>
        <w:t>[7]</w:t>
      </w:r>
      <w:r w:rsidR="001932C6">
        <w:rPr>
          <w:sz w:val="24"/>
          <w:szCs w:val="24"/>
        </w:rPr>
        <w:fldChar w:fldCharType="end"/>
      </w:r>
      <w:r>
        <w:rPr>
          <w:sz w:val="24"/>
          <w:szCs w:val="24"/>
        </w:rPr>
        <w:t>. Therefore, there are many studies that suggest a revision.</w:t>
      </w:r>
    </w:p>
    <w:p w:rsidR="002A320C" w:rsidRDefault="008D3C8C" w:rsidP="00BB01E9">
      <w:pPr>
        <w:ind w:firstLine="567"/>
        <w:jc w:val="both"/>
        <w:rPr>
          <w:sz w:val="24"/>
          <w:szCs w:val="24"/>
        </w:rPr>
      </w:pPr>
      <w:r>
        <w:rPr>
          <w:sz w:val="24"/>
          <w:szCs w:val="24"/>
        </w:rPr>
        <w:t xml:space="preserve">In other countries studies of textbooks have led to content revisions aimed at freeing the contents of studies from nationalistic, chauvinistic and interpretation bias themes to be directed at the theme of peace and international understanding </w:t>
      </w:r>
      <w:r>
        <w:rPr>
          <w:sz w:val="24"/>
          <w:szCs w:val="24"/>
        </w:rPr>
        <w:fldChar w:fldCharType="begin" w:fldLock="1"/>
      </w:r>
      <w:r w:rsidR="003E56F2">
        <w:rPr>
          <w:sz w:val="24"/>
          <w:szCs w:val="24"/>
        </w:rPr>
        <w:instrText>ADDIN CSL_CITATION {"citationItems":[{"id":"ITEM-1","itemData":{"abstract":"This essay gives an overview of major trends in history and social studies textbook research focusing on issues such as textbook revision, identity construction, methodology, textbooks and other educational media, textbooks and society, and the theory and history of educational media. Since textbook research does not exist as a specific academic field it seems to be more correct to speak of textbook- related research that encompasses a wealth of diverse forms. Its high research output and methodological plurality stands in contrast to its low institutional basis in universities and other academic institutions. The main deficit of the current literature of textbook-related research is the lack of empirical findings on the usage, reception, and effects of textbooks in the classroom and a widespread atheoretical approach to textbook analysis. However, the field is expanding which is reflected by a variety of research approaches conducted from different disciplinary perspectives","author":[{"dropping-particle":"","family":"Fuchs","given":"Eckhardt","non-dropping-particle":"","parse-names":false,"suffix":""}],"container-title":"Journal of International Cooperation in Education,","id":"ITEM-1","issue":"2","issued":{"date-parts":[["2011"]]},"page":"17-34","title":"Current Trends in History and Social Studies Textbook Research","type":"article-journal","volume":"14"},"uris":["http://www.mendeley.com/documents/?uuid=d26e6976-8200-4b05-8e6b-8cf7da66ce3c"]}],"mendeley":{"formattedCitation":"[8]","plainTextFormattedCitation":"[8]","previouslyFormattedCitation":"[8]"},"properties":{"noteIndex":0},"schema":"https://github.com/citation-style-language/schema/raw/master/csl-citation.json"}</w:instrText>
      </w:r>
      <w:r>
        <w:rPr>
          <w:sz w:val="24"/>
          <w:szCs w:val="24"/>
        </w:rPr>
        <w:fldChar w:fldCharType="separate"/>
      </w:r>
      <w:r w:rsidR="003E56F2" w:rsidRPr="003E56F2">
        <w:rPr>
          <w:noProof/>
          <w:sz w:val="24"/>
          <w:szCs w:val="24"/>
        </w:rPr>
        <w:t>[8]</w:t>
      </w:r>
      <w:r>
        <w:rPr>
          <w:sz w:val="24"/>
          <w:szCs w:val="24"/>
        </w:rPr>
        <w:fldChar w:fldCharType="end"/>
      </w:r>
      <w:r w:rsidR="002F7099">
        <w:rPr>
          <w:sz w:val="24"/>
          <w:szCs w:val="24"/>
        </w:rPr>
        <w:fldChar w:fldCharType="begin" w:fldLock="1"/>
      </w:r>
      <w:r w:rsidR="003E56F2">
        <w:rPr>
          <w:sz w:val="24"/>
          <w:szCs w:val="24"/>
        </w:rPr>
        <w:instrText>ADDIN CSL_CITATION {"citationItems":[{"id":"ITEM-1","itemData":{"DOI":"10.3200/tsss.98.5.201-208","ISSN":"0037-7996","abstract":"As historians and publishers scrambled to revise American history textbooks in the wake of the 1960s, textbooks increasingly strove to include the experiences of African Americans and avoid dangerous racial stereotypes. After the Civil Rights movement and decades before scathing criticism of textbooks for their inability to address racism in American history from authors such as James Loewen, one textbook, John Wiltz's The Search for Identity: Modern American History (1973), provided an unprecedented historical narrative. The Search for Identity offered a narrative that reflected America's multiracial past and revealed what recent historians identified as whiteness and the social construction of race. The result was a progressive textbook that explored the nexus of racial identity, white privilege, and American history in a way that may prove invaluable for students in the twenty-first century. Reprinted by permission of the publisher.","author":[{"dropping-particle":"","family":"Hughes","given":"Richard L.","non-dropping-particle":"","parse-names":false,"suffix":""}],"container-title":"The Social Studies","id":"ITEM-1","issue":"5","issued":{"date-parts":[["2007"]]},"page":"201-208","title":"A Hint of Whiteness: History Textbooks and Social Construction of Race in the Wake of the Sixties","type":"article-journal","volume":"98"},"uris":["http://www.mendeley.com/documents/?uuid=b0e10913-4bb3-4d0c-83d6-723b54c4bad9"]}],"mendeley":{"formattedCitation":"[9]","plainTextFormattedCitation":"[9]","previouslyFormattedCitation":"[9]"},"properties":{"noteIndex":0},"schema":"https://github.com/citation-style-language/schema/raw/master/csl-citation.json"}</w:instrText>
      </w:r>
      <w:r w:rsidR="002F7099">
        <w:rPr>
          <w:sz w:val="24"/>
          <w:szCs w:val="24"/>
        </w:rPr>
        <w:fldChar w:fldCharType="separate"/>
      </w:r>
      <w:r w:rsidR="003E56F2" w:rsidRPr="003E56F2">
        <w:rPr>
          <w:noProof/>
          <w:sz w:val="24"/>
          <w:szCs w:val="24"/>
        </w:rPr>
        <w:t>[9]</w:t>
      </w:r>
      <w:r w:rsidR="002F7099">
        <w:rPr>
          <w:sz w:val="24"/>
          <w:szCs w:val="24"/>
        </w:rPr>
        <w:fldChar w:fldCharType="end"/>
      </w:r>
      <w:r w:rsidR="002A320C">
        <w:rPr>
          <w:sz w:val="24"/>
          <w:szCs w:val="24"/>
        </w:rPr>
        <w:t>. This is done as a form of reconciliation, an example of a history textbook in America</w:t>
      </w:r>
      <w:r w:rsidR="002F7099">
        <w:rPr>
          <w:sz w:val="24"/>
          <w:szCs w:val="24"/>
        </w:rPr>
        <w:fldChar w:fldCharType="begin" w:fldLock="1"/>
      </w:r>
      <w:r w:rsidR="003E56F2">
        <w:rPr>
          <w:sz w:val="24"/>
          <w:szCs w:val="24"/>
        </w:rPr>
        <w:instrText>ADDIN CSL_CITATION {"citationItems":[{"id":"ITEM-1","itemData":{"DOI":"10.1177/0002716207313087","ISSN":"00027162","abstract":"International school textbook revision and research became a professional academic activity after the First World War. It broadened its scope and methodological approaches considerably after the collapse of the bipolar world. Today, a number of different agencies, such as international governmental institutions, NGOs, and academic as well as pedagogical institutions, are involved in projects on the revision of history teaching in postconflict societies. This article examines the pros and cons of different project designs, focusing on the sometimes contradictory aims projects are expected to achieve and on the interplay between the various agencies. Examples highlighting the reconstruction and reconciliation process are taken from Bosnia and Herzegovina, Israel-Palestine, and Rwanda and South Africa.","author":[{"dropping-particle":"","family":"Pingel","given":"Falk","non-dropping-particle":"","parse-names":false,"suffix":""}],"container-title":"Annals of the American Academy of Political and Social Science","id":"ITEM-1","issue":"1","issued":{"date-parts":[["2008"]]},"page":"181-198","title":"Can truth be negotiated? History textbook revision as a means to reconciliation","type":"article-journal","volume":"617"},"uris":["http://www.mendeley.com/documents/?uuid=e27a1158-6607-468c-ab57-affb03e0ed59"]}],"mendeley":{"formattedCitation":"[6]","plainTextFormattedCitation":"[6]","previouslyFormattedCitation":"[6]"},"properties":{"noteIndex":0},"schema":"https://github.com/citation-style-language/schema/raw/master/csl-citation.json"}</w:instrText>
      </w:r>
      <w:r w:rsidR="002F7099">
        <w:rPr>
          <w:sz w:val="24"/>
          <w:szCs w:val="24"/>
        </w:rPr>
        <w:fldChar w:fldCharType="separate"/>
      </w:r>
      <w:r w:rsidR="003E56F2" w:rsidRPr="003E56F2">
        <w:rPr>
          <w:noProof/>
          <w:sz w:val="24"/>
          <w:szCs w:val="24"/>
        </w:rPr>
        <w:t>[6]</w:t>
      </w:r>
      <w:r w:rsidR="002F7099">
        <w:rPr>
          <w:sz w:val="24"/>
          <w:szCs w:val="24"/>
        </w:rPr>
        <w:fldChar w:fldCharType="end"/>
      </w:r>
      <w:r w:rsidR="00B700F3">
        <w:rPr>
          <w:sz w:val="24"/>
          <w:szCs w:val="24"/>
        </w:rPr>
        <w:fldChar w:fldCharType="begin" w:fldLock="1"/>
      </w:r>
      <w:r w:rsidR="003E56F2">
        <w:rPr>
          <w:sz w:val="24"/>
          <w:szCs w:val="24"/>
        </w:rPr>
        <w:instrText>ADDIN CSL_CITATION {"citationItems":[{"id":"ITEM-1","itemData":{"ISSN":"0037-7724","abstract":"Students have frequently expressed curiosity about the way past events involving the United States were viewed by other nations. For instance, students have often wondered how World War II is presented to students in Germany, or what students in Japan learn about the dropping of the atomic bombs. To help his students look at events from a global perspective, the author used a book called \"History Lessons: How Textbooks from around the World Portray U.S. History,\" by Dana Lindaman and Kyle Ward. The book includes passages about significant events in American history translated into English from textbooks around the world and can be used to help students make comparisons with their own textbook's version of events. In this article, he shares how he had taught the lesson on the Vietnam War using excerpts from this book and from their own textbooks to compare how American and Vietnamese texts described the war. (Contains 1 table and 16 notes.)","author":[{"dropping-particle":"","family":"DeRose","given":"John","non-dropping-particle":"","parse-names":false,"suffix":""}],"container-title":"Social Education","id":"ITEM-1","issue":"1","issued":{"date-parts":[["2007"]]},"page":"36-39","title":"Comparing International Textbooks to Develop Historical Thinking.","type":"article-journal","volume":"71"},"uris":["http://www.mendeley.com/documents/?uuid=785312a9-8417-4b66-80ea-f09c74406db1"]}],"mendeley":{"formattedCitation":"[10]","plainTextFormattedCitation":"[10]","previouslyFormattedCitation":"[10]"},"properties":{"noteIndex":0},"schema":"https://github.com/citation-style-language/schema/raw/master/csl-citation.json"}</w:instrText>
      </w:r>
      <w:r w:rsidR="00B700F3">
        <w:rPr>
          <w:sz w:val="24"/>
          <w:szCs w:val="24"/>
        </w:rPr>
        <w:fldChar w:fldCharType="separate"/>
      </w:r>
      <w:r w:rsidR="003E56F2" w:rsidRPr="003E56F2">
        <w:rPr>
          <w:noProof/>
          <w:sz w:val="24"/>
          <w:szCs w:val="24"/>
        </w:rPr>
        <w:t>[10]</w:t>
      </w:r>
      <w:r w:rsidR="00B700F3">
        <w:rPr>
          <w:sz w:val="24"/>
          <w:szCs w:val="24"/>
        </w:rPr>
        <w:fldChar w:fldCharType="end"/>
      </w:r>
      <w:r w:rsidR="00BB01E9">
        <w:rPr>
          <w:sz w:val="24"/>
          <w:szCs w:val="24"/>
        </w:rPr>
        <w:t xml:space="preserve">. Considering various historical problems both in terms of politics, social and culture, it is time for the government to start updating the curriculum of history and textbooks so that it does not only discuss political history from one perspective. New discoveries in historical science should have been included in textbooks. This is in accordance with the opinion of Saveedra and Opfer which states that </w:t>
      </w:r>
      <w:r w:rsidR="00BB01E9">
        <w:rPr>
          <w:sz w:val="24"/>
          <w:szCs w:val="24"/>
        </w:rPr>
        <w:lastRenderedPageBreak/>
        <w:t>there are at least 9 things that must be developed in 21st century learning, one of which is, "make it relevant"</w:t>
      </w:r>
      <w:r w:rsidR="002A320C">
        <w:rPr>
          <w:sz w:val="24"/>
          <w:szCs w:val="24"/>
        </w:rPr>
        <w:fldChar w:fldCharType="begin" w:fldLock="1"/>
      </w:r>
      <w:r w:rsidR="003E56F2">
        <w:rPr>
          <w:sz w:val="24"/>
          <w:szCs w:val="24"/>
        </w:rPr>
        <w:instrText>ADDIN CSL_CITATION {"citationItems":[{"id":"ITEM-1","itemData":{"DOI":"10.1177/003172171209400203","ISSN":"00317217","abstract":"For students to learn 21st-century skills, we will have to teach them differently than we have in the past. The outdated, transmission model, through which teachers transmit factual knowledge to students via lectures and textbooks, remains the dominant approach to compulsory education in much of the world, yet it is not the most effective way to teach 21st-century skills. Students are not developing 21st-century skills because they are not explicitly taught and because they are more difficult to assess than factual retention. The authors summarize nine lessons from the science of learning telling how students learn 21st-century skills and how pedagogy can address their needs. © 2012.","author":[{"dropping-particle":"","family":"Saavedra","given":"Anna Rosefsky","non-dropping-particle":"","parse-names":false,"suffix":""},{"dropping-particle":"","family":"Darleen Opfer","given":"V.","non-dropping-particle":"","parse-names":false,"suffix":""}],"container-title":"Phi Delta Kappan","id":"ITEM-1","issue":"2","issued":{"date-parts":[["2012"]]},"page":"8-13","title":"Learning 21st-century skills requires 21st-century teaching","type":"article-journal","volume":"94"},"uris":["http://www.mendeley.com/documents/?uuid=dd73d257-5acf-4baf-8758-91a0a421e53b"]}],"mendeley":{"formattedCitation":"[11]","plainTextFormattedCitation":"[11]","previouslyFormattedCitation":"[11]"},"properties":{"noteIndex":0},"schema":"https://github.com/citation-style-language/schema/raw/master/csl-citation.json"}</w:instrText>
      </w:r>
      <w:r w:rsidR="002A320C">
        <w:rPr>
          <w:sz w:val="24"/>
          <w:szCs w:val="24"/>
        </w:rPr>
        <w:fldChar w:fldCharType="separate"/>
      </w:r>
      <w:r w:rsidR="003E56F2" w:rsidRPr="003E56F2">
        <w:rPr>
          <w:noProof/>
          <w:sz w:val="24"/>
          <w:szCs w:val="24"/>
        </w:rPr>
        <w:t>[11]</w:t>
      </w:r>
      <w:r w:rsidR="002A320C">
        <w:rPr>
          <w:sz w:val="24"/>
          <w:szCs w:val="24"/>
        </w:rPr>
        <w:fldChar w:fldCharType="end"/>
      </w:r>
      <w:r w:rsidR="00FB10E1">
        <w:rPr>
          <w:sz w:val="24"/>
          <w:szCs w:val="24"/>
        </w:rPr>
        <w:t xml:space="preserve">. </w:t>
      </w:r>
    </w:p>
    <w:p w:rsidR="009D7448" w:rsidRDefault="009D7448" w:rsidP="00BB01E9">
      <w:pPr>
        <w:ind w:firstLine="567"/>
        <w:jc w:val="both"/>
        <w:rPr>
          <w:sz w:val="24"/>
          <w:szCs w:val="24"/>
        </w:rPr>
      </w:pPr>
      <w:r>
        <w:rPr>
          <w:sz w:val="24"/>
          <w:szCs w:val="24"/>
        </w:rPr>
        <w:t xml:space="preserve">In Indonesia, the study of history textbooks mostly discusses values ​​representation, content evaluation, character content, and material content related to national values. </w:t>
      </w:r>
      <w:r w:rsidR="00763EBA">
        <w:rPr>
          <w:sz w:val="24"/>
          <w:szCs w:val="24"/>
        </w:rPr>
        <w:fldChar w:fldCharType="begin" w:fldLock="1"/>
      </w:r>
      <w:r w:rsidR="00763EBA">
        <w:rPr>
          <w:sz w:val="24"/>
          <w:szCs w:val="24"/>
        </w:rPr>
        <w:instrText>ADDIN CSL_CITATION {"citationItems":[{"id":"ITEM-1","itemData":{"DOI":"10.15294/paramita.v26i1.5150","ISSN":"0854-0039","abstract":"&lt;p class=\"04Abstrak\"&gt;Textbook is one of learning sources used in history learning in school. History learning has function to preserve collective memories and necessary values, such as Bhineka Tunggal Ika. This research aims to reveal depiction and representation of  Bhineka Tunggal Ika value in history textbooks. It is qualitative research using critical discourse analysis, particularly representative analysis model by Roger Fowler.  Data sources in the research are the senior high school textbooks based on 2006 curriculum which can be downloaded at bse.kemdikbud.go.id. website. Method of collecting data is conducted by documentation technique. The validity of discourse analysis refers to  Ibnu Hamad’s opinion, namely holistic, historical situatedness, and theory. Next, analysis is conducted using critical discourse analysis by Fairclough  namely description, interpretation and explanation. The result of research shows that Bhineka Tunggal Ika is represented in various themes such as assimilation/acculturation/ syncretism, differences/diversity/plurality/complexity/multicultural, distinction/discrimination and unity. Bhineka Tunggal Ika should be understand as both  a result and continuous process.&lt;/p&gt;&lt;p&gt; &lt;/p&gt;&lt;p class=\"04Abstrak\"&gt;Buku teks merupakan salah satu sumber belajar yang digunakan dalam pembelajaran sejarah di sekolah. Pembelajaran sejarah berfungsi untuk melestarikan memori kolektif dan nilai-nilai yang dianggap penting, salah satunya Bhineka Tunggal Ika. Penelitian ini bertujuan untuk untuk mengungkap penggambaran dan representasi nilai Bhineka Tunggal Ika dalam buku teks sejarah. Penelitian ini merupakan penelitian kualitatif dengan menggunakan metode analisis wacana kritis, terutama analisis representasi model Roger Fowler. Sumber data pada penelitian ini adalah buku teks sejarah SMA berdasarkan kurikulum 2006 yang dapat diunduh pada laman bse.kemdikbud.go.id. Pengumpulan data dilakukan dengan teknik dokumentasi.Validitas analisis wacana mengacu pada pendapat Ibnu Hamad, yaitu holistic, historical situatedness, dan teori.Selanjutnya analisis dilakukan dengan menggunakan model analisis wacana kritis Fairclough yaitu deskripsi, interpretasi, dan eksplanasi. Hasil penelitian menunjukkan bahwa Bhineka Tunggal Ika direpresentasikan dalam berbagai tema seperti pembauran/akulturasi/sinkretisme, perbedaan/ keragaman/ pluralitas/ kemajemukan/ multikultural, pembedaan/diskriminasi serta persatuan dan kesatuan. Bhineka Tunggal Ika perlu dipahami seba…","author":[{"dropping-particle":"","family":"Utami","given":"Indah Wahyu Puji","non-dropping-particle":"","parse-names":false,"suffix":""},{"dropping-particle":"","family":"Widiadi","given":"Aditya Nugroho","non-dropping-particle":"","parse-names":false,"suffix":""}],"container-title":"Paramita: Historical Studies Journal","id":"ITEM-1","issue":"1","issued":{"date-parts":[["2016"]]},"page":"106","title":"Wacana Bhineka Tunggal Ika Dalam Buku Teks Sejarah","type":"article-journal","volume":"26"},"uris":["http://www.mendeley.com/documents/?uuid=bd50eeb0-f94f-4c39-b760-80630d1fe1d0"]}],"mendeley":{"formattedCitation":"[12]","plainTextFormattedCitation":"[12]","previouslyFormattedCitation":"[12]"},"properties":{"noteIndex":0},"schema":"https://github.com/citation-style-language/schema/raw/master/csl-citation.json"}</w:instrText>
      </w:r>
      <w:r w:rsidR="00763EBA">
        <w:rPr>
          <w:sz w:val="24"/>
          <w:szCs w:val="24"/>
        </w:rPr>
        <w:fldChar w:fldCharType="separate"/>
      </w:r>
      <w:r w:rsidR="00763EBA" w:rsidRPr="00763EBA">
        <w:rPr>
          <w:noProof/>
          <w:sz w:val="24"/>
          <w:szCs w:val="24"/>
        </w:rPr>
        <w:t>[12]</w:t>
      </w:r>
      <w:r w:rsidR="00763EBA">
        <w:rPr>
          <w:sz w:val="24"/>
          <w:szCs w:val="24"/>
        </w:rPr>
        <w:fldChar w:fldCharType="end"/>
      </w:r>
      <w:r w:rsidR="00763EBA">
        <w:rPr>
          <w:sz w:val="24"/>
          <w:szCs w:val="24"/>
        </w:rPr>
        <w:fldChar w:fldCharType="begin" w:fldLock="1"/>
      </w:r>
      <w:r w:rsidR="00763EBA">
        <w:rPr>
          <w:sz w:val="24"/>
          <w:szCs w:val="24"/>
        </w:rPr>
        <w:instrText>ADDIN CSL_CITATION {"citationItems":[{"id":"ITEM-1","itemData":{"DOI":"10.21831/cp.v0i3.1551","ISSN":"0216-1370","abstract":"Abstrak: Evaluasi Isi Buku Teks Pelajaran Sejarah pada Masa Orde Baru. Penelitian ini bertujuan untuk mjengevaluasi isi buku teks sejarah untuk sekolah menengah pada masa Order Baru. Penelitian ini merupakan penelitian kualitatif, dengan fokus pada analisis isi buku teks sejarah. Analisis dan evaluasi dilakukan dengan menggunakan kriteria Sartono dalam menulis sejarah nasional. Temuan penelitian menunjukkan bahwa kualitas buku teks sejarah sudah berkembang tetapi masih perlu perbaikan dalam hal pendekatan, kesamaan, dan integrasi nasional. Kata Kunci: evaluasi, pelajaran sejarah, buku teks, kesamaan, integrasi nasionalAbstract: An Evaluation of The History Textbooks in The New Order Era. This study aimed to evaluate the content of history textbooks for high schools in the New Order era. The research method used was qualitative, focusing on the content analysis of history textbooks. The analysis and evaluation used Sartono’s criteria of writing the national history. The findings showed that the quality of history textbooks had already developed, but it needed improvement in approach, equity and national integration. Keywords: evaluation, history textbooks, equity, national integration","author":[{"dropping-particle":"","family":"Purwanta","given":"Hieronymus","non-dropping-particle":"","parse-names":false,"suffix":""}],"container-title":"Jurnal Cakrawala Pendidikan","id":"ITEM-1","issue":"3","issued":{"date-parts":[["2013"]]},"page":"424-440","title":"Evaluasi Isi Buku Teks Pelajaran Sejarah Pada Masa Orde Baru","type":"article-journal"},"uris":["http://www.mendeley.com/documents/?uuid=44e84e8a-6d33-4928-8f5b-c3f7ceb0e706"]}],"mendeley":{"formattedCitation":"[13]","plainTextFormattedCitation":"[13]","previouslyFormattedCitation":"[13]"},"properties":{"noteIndex":0},"schema":"https://github.com/citation-style-language/schema/raw/master/csl-citation.json"}</w:instrText>
      </w:r>
      <w:r w:rsidR="00763EBA">
        <w:rPr>
          <w:sz w:val="24"/>
          <w:szCs w:val="24"/>
        </w:rPr>
        <w:fldChar w:fldCharType="separate"/>
      </w:r>
      <w:r w:rsidR="00763EBA" w:rsidRPr="00763EBA">
        <w:rPr>
          <w:noProof/>
          <w:sz w:val="24"/>
          <w:szCs w:val="24"/>
        </w:rPr>
        <w:t>[13]</w:t>
      </w:r>
      <w:r w:rsidR="00763EBA">
        <w:rPr>
          <w:sz w:val="24"/>
          <w:szCs w:val="24"/>
        </w:rPr>
        <w:fldChar w:fldCharType="end"/>
      </w:r>
      <w:r w:rsidR="00763EBA">
        <w:rPr>
          <w:sz w:val="24"/>
          <w:szCs w:val="24"/>
        </w:rPr>
        <w:fldChar w:fldCharType="begin" w:fldLock="1"/>
      </w:r>
      <w:r w:rsidR="00763EBA">
        <w:rPr>
          <w:sz w:val="24"/>
          <w:szCs w:val="24"/>
        </w:rPr>
        <w:instrText>ADDIN CSL_CITATION {"citationItems":[{"id":"ITEM-1","itemData":{"DOI":"10.21831/socia.v10i2.5353","ISSN":"1829-5797","abstract":"Penelitian ini bertujuan untuk mengetahui (1) Tujuan dimunculkannya buku teks muatan lokal pendidikan multikultur Kalimantan Barat; (2) Penyajian materi dalam buku teks muatan lokal pendidikan multikultur Kalimantan Barat; (3) Materi sejarah dalam buku teks muatan lokal pendidikan multikultur Kalimantan Barat. Penelitian diskriptif kualitatif dengan studi kasus tunggal dan strategi penelitian dalam bentuk terpancang. Hasil penelitian menunjukkan bahwa dimunculkannya buku teks muatan lokal pendidikan multikultur Kalimantan Barat: (1) Untuk rekonsiliasi konflik melalui jalur pendidikan sekaligus mengenalkan kembali kebudayaan etnis di Kalimantan Barat; (2) Masih memiliki kelemahan dan kekurangan mengenai kelogisan sajian materi yang menjelaskan materi melalui cerita rakyat (folklore), tidak menunjukkan glosarium, indeks, ketepatan tata bahasa, ketidaksesuaian antara materi dengan ilustrasi dan penulisan daftar pustaka; (3) Materi sejarah adalah sejarah lokal Kalimantan Barat dan sejarah kebudayaan etnis Dayak, Melayu, Tionghoa dan Madura. Kata kunci : Materi Sejarah, Buku Teks Muatan Lokal, Pendidikan Multikultur","author":[{"dropping-particle":"","family":"Utama","given":"Eka Jaya Putra Utama","non-dropping-particle":"","parse-names":false,"suffix":""}],"container-title":"SOCIA: Jurnal Ilmu-Ilmu Sosial","id":"ITEM-1","issue":"2","issued":{"date-parts":[["2015"]]},"title":"Materi Sejarah dalam Buku Teks Muatan Lokal Pendidikan Multikultur Kalimantan Barat","type":"article-journal","volume":"10"},"uris":["http://www.mendeley.com/documents/?uuid=8b50d6b5-c436-4bab-b857-12d77c167930"]}],"mendeley":{"formattedCitation":"[14]","plainTextFormattedCitation":"[14]","previouslyFormattedCitation":"[14]"},"properties":{"noteIndex":0},"schema":"https://github.com/citation-style-language/schema/raw/master/csl-citation.json"}</w:instrText>
      </w:r>
      <w:r w:rsidR="00763EBA">
        <w:rPr>
          <w:sz w:val="24"/>
          <w:szCs w:val="24"/>
        </w:rPr>
        <w:fldChar w:fldCharType="separate"/>
      </w:r>
      <w:r w:rsidR="00763EBA" w:rsidRPr="00763EBA">
        <w:rPr>
          <w:noProof/>
          <w:sz w:val="24"/>
          <w:szCs w:val="24"/>
        </w:rPr>
        <w:t>[14]</w:t>
      </w:r>
      <w:r w:rsidR="00763EBA">
        <w:rPr>
          <w:sz w:val="24"/>
          <w:szCs w:val="24"/>
        </w:rPr>
        <w:fldChar w:fldCharType="end"/>
      </w:r>
      <w:r w:rsidR="00763EBA">
        <w:rPr>
          <w:sz w:val="24"/>
          <w:szCs w:val="24"/>
        </w:rPr>
        <w:t>. The textbook studies have not yet touched the realm of evaluation and the relevance of values ​​and content to the new conditions in the 21st century, especially on Islamic historical material. This is according to the author important to discuss given the increasingly widespread transnational religious notions in schools and universities</w:t>
      </w:r>
      <w:r w:rsidR="00763EBA">
        <w:rPr>
          <w:sz w:val="24"/>
          <w:szCs w:val="24"/>
        </w:rPr>
        <w:fldChar w:fldCharType="begin" w:fldLock="1"/>
      </w:r>
      <w:r w:rsidR="00210FDA">
        <w:rPr>
          <w:sz w:val="24"/>
          <w:szCs w:val="24"/>
        </w:rPr>
        <w:instrText>ADDIN CSL_CITATION {"citationItems":[{"id":"ITEM-1","itemData":{"DOI":"10.31969/alq.v23i2.434","ISSN":"0854-1221","abstract":"Radikalisme Islam akhir-akhir ini marak di Indonesia. Persekusi atas nama agama, kekerasan, penyegelan rumah ibadah, bahkan aksi-aksi terorisme kerap mewarnai kehidupan kita dalam berbangsa dan bernegara. Dalam situasi tersebut, anak muda muslim, khususnya dari kalangan terdidik diharapkan dapat menjadi pionir untuk mengatasi radikalisme agama ini. Sayangnya, fakta justru menunjukkan sebaliknya. Kalangan muda terdidik muslim seperti mahasiswa dan kalangan siswa justru terjangkiti virus-virus radikalisme. Di kalangan mereka ini radikalisme justru tumbuh dengan pesat. Tulisan ini  menggambarkan sejauh mana paham radikalisme ini berkembang di kalangan kaum muda Islam terdidik dan bagaimana hal tersebut bisa terjadi. Ada dua kategori kaum muda terdidik dalam tulisan ini, yaitu mahasiswa Islam di perguruan Tinggi dan siswa di kalangan SMA.  Data dalam tulisan ini didapatkan dari penelitian dengan mixed method. Penelitian ini mengombinasikan penelitian kualitatif dan kuantitatif. Data di dapatkan dari empat sampel perguruan tinggi di Makassar, yaitu UNHAS, UNM, UIN dan  UMI. Sementara penelitian siswa sampelnya dari SMA I dan MAN I Makassar","author":[{"dropping-particle":"","family":"Rijal","given":"Syamsu","non-dropping-particle":"","parse-names":false,"suffix":""}],"container-title":"Al-Qalam","id":"ITEM-1","issue":"2","issued":{"date-parts":[["2017"]]},"title":"Radikalisme Kaum Muda Islam Terdidik Di Makassar","type":"article-journal","volume":"23"},"uris":["http://www.mendeley.com/documents/?uuid=43db9f3d-5cca-42c0-9cd2-e5b453f3af63"]}],"mendeley":{"formattedCitation":"[15]","plainTextFormattedCitation":"[15]","previouslyFormattedCitation":"[15]"},"properties":{"noteIndex":0},"schema":"https://github.com/citation-style-language/schema/raw/master/csl-citation.json"}</w:instrText>
      </w:r>
      <w:r w:rsidR="00763EBA">
        <w:rPr>
          <w:sz w:val="24"/>
          <w:szCs w:val="24"/>
        </w:rPr>
        <w:fldChar w:fldCharType="separate"/>
      </w:r>
      <w:r w:rsidR="00763EBA" w:rsidRPr="00763EBA">
        <w:rPr>
          <w:noProof/>
          <w:sz w:val="24"/>
          <w:szCs w:val="24"/>
        </w:rPr>
        <w:t>[15]</w:t>
      </w:r>
      <w:r w:rsidR="00763EBA">
        <w:rPr>
          <w:sz w:val="24"/>
          <w:szCs w:val="24"/>
        </w:rPr>
        <w:fldChar w:fldCharType="end"/>
      </w:r>
      <w:r w:rsidR="00210FDA">
        <w:rPr>
          <w:sz w:val="24"/>
          <w:szCs w:val="24"/>
        </w:rPr>
        <w:fldChar w:fldCharType="begin" w:fldLock="1"/>
      </w:r>
      <w:r w:rsidR="00210FDA">
        <w:rPr>
          <w:sz w:val="24"/>
          <w:szCs w:val="24"/>
        </w:rPr>
        <w:instrText>ADDIN CSL_CITATION {"citationItems":[{"id":"ITEM-1","itemData":{"DOI":"10.22146/studipemudaugm.37127","ISSN":"2252-9020","abstract":"Youth, Intolerance, and Radicalism are serious problems facing Indonesia and other countries including in the Middle East. This phenomenon has sprung up over the last five years with various events that have surfaced. There are many reasons for the emergence of radicalism among young people and intolerance. However, there are several alternatives also to reduce the movement of intolerance and radicalism of youth. Religious movements that come from mass organizations such as Muhammadiyah and NU can be expected to reduce it. The most phenomenal phenomenon is the emergence of ISIS Islamic state of Iraq and Syria with various violent activities in Iraq and Syria affecting religious life in Indonesia. The movement of intolerance and radicalism arises because of the lazy tolerance. The essay below wants to reflect on the continuous occurrence of terrorist acts of terrorism radicalism in our country. The following essays are based largely on literature reviews written on the basis of reports or by others, as well as observations from the authors","author":[{"dropping-particle":"","family":"Qodir","given":"Zuly","non-dropping-particle":"","parse-names":false,"suffix":""}],"container-title":"Jurnal Studi Pemuda","id":"ITEM-1","issue":"1","issued":{"date-parts":[["2018"]]},"page":"429","title":"Kaum Muda, Intoleransi, dan Radikalisme Agama","type":"article-journal","volume":"5"},"uris":["http://www.mendeley.com/documents/?uuid=f7595e62-58a6-40db-ae4d-d01ca5d23d96"]}],"mendeley":{"formattedCitation":"[16]","plainTextFormattedCitation":"[16]","previouslyFormattedCitation":"[16]"},"properties":{"noteIndex":0},"schema":"https://github.com/citation-style-language/schema/raw/master/csl-citation.json"}</w:instrText>
      </w:r>
      <w:r w:rsidR="00210FDA">
        <w:rPr>
          <w:sz w:val="24"/>
          <w:szCs w:val="24"/>
        </w:rPr>
        <w:fldChar w:fldCharType="separate"/>
      </w:r>
      <w:r w:rsidR="00210FDA" w:rsidRPr="00210FDA">
        <w:rPr>
          <w:noProof/>
          <w:sz w:val="24"/>
          <w:szCs w:val="24"/>
        </w:rPr>
        <w:t>[16]</w:t>
      </w:r>
      <w:r w:rsidR="00210FDA">
        <w:rPr>
          <w:sz w:val="24"/>
          <w:szCs w:val="24"/>
        </w:rPr>
        <w:fldChar w:fldCharType="end"/>
      </w:r>
      <w:r w:rsidR="00210FDA">
        <w:rPr>
          <w:sz w:val="24"/>
          <w:szCs w:val="24"/>
        </w:rPr>
        <w:fldChar w:fldCharType="begin" w:fldLock="1"/>
      </w:r>
      <w:r w:rsidR="00C8452C">
        <w:rPr>
          <w:sz w:val="24"/>
          <w:szCs w:val="24"/>
        </w:rPr>
        <w:instrText>ADDIN CSL_CITATION {"citationItems":[{"id":"ITEM-1","itemData":{"DOI":"10.20885/millah.volxiv.iss2.art7","ISSN":"14120992","author":[{"dropping-particle":"","family":"Sanaky","given":"Hujair AH","non-dropping-particle":"","parse-names":false,"suffix":""},{"dropping-particle":"","family":"Safitri","given":"Edy","non-dropping-particle":"","parse-names":false,"suffix":""}],"container-title":"Millah","id":"ITEM-1","issue":"2","issued":{"date-parts":[["2016"]]},"page":"135-146","title":"Radikalisme Agama Dalam Perspektif Pendidikan","type":"article-journal","volume":"XIV"},"uris":["http://www.mendeley.com/documents/?uuid=abb986ef-0f31-446f-914b-048e50909f55"]}],"mendeley":{"formattedCitation":"[17]","plainTextFormattedCitation":"[17]","previouslyFormattedCitation":"[17]"},"properties":{"noteIndex":0},"schema":"https://github.com/citation-style-language/schema/raw/master/csl-citation.json"}</w:instrText>
      </w:r>
      <w:r w:rsidR="00210FDA">
        <w:rPr>
          <w:sz w:val="24"/>
          <w:szCs w:val="24"/>
        </w:rPr>
        <w:fldChar w:fldCharType="separate"/>
      </w:r>
      <w:r w:rsidR="00210FDA" w:rsidRPr="00210FDA">
        <w:rPr>
          <w:noProof/>
          <w:sz w:val="24"/>
          <w:szCs w:val="24"/>
        </w:rPr>
        <w:t>[17]</w:t>
      </w:r>
      <w:r w:rsidR="00210FDA">
        <w:rPr>
          <w:sz w:val="24"/>
          <w:szCs w:val="24"/>
        </w:rPr>
        <w:fldChar w:fldCharType="end"/>
      </w:r>
      <w:r w:rsidR="008575A2">
        <w:rPr>
          <w:sz w:val="24"/>
          <w:szCs w:val="24"/>
        </w:rPr>
        <w:t>. Therefore, in this article the author intends to evaluate the contents and contents of the characters contained in official history textbooks, especially on the material of Islamic history in Indonesia.</w:t>
      </w:r>
    </w:p>
    <w:p w:rsidR="002A320C" w:rsidRDefault="002A320C" w:rsidP="008D3C8C">
      <w:pPr>
        <w:ind w:firstLine="567"/>
        <w:jc w:val="both"/>
        <w:rPr>
          <w:sz w:val="24"/>
          <w:szCs w:val="24"/>
        </w:rPr>
      </w:pPr>
    </w:p>
    <w:p w:rsidR="007E2116" w:rsidRPr="00191FEB" w:rsidRDefault="007E2116" w:rsidP="000E54F0">
      <w:pPr>
        <w:rPr>
          <w:b/>
          <w:sz w:val="24"/>
          <w:szCs w:val="24"/>
        </w:rPr>
      </w:pPr>
      <w:r w:rsidRPr="00191FEB">
        <w:rPr>
          <w:b/>
          <w:sz w:val="24"/>
          <w:szCs w:val="24"/>
        </w:rPr>
        <w:t>Research Methods (Rica)</w:t>
      </w:r>
    </w:p>
    <w:p w:rsidR="007E2116" w:rsidRPr="00191FEB" w:rsidRDefault="007E2116" w:rsidP="009D1493">
      <w:pPr>
        <w:ind w:firstLine="567"/>
        <w:jc w:val="both"/>
        <w:rPr>
          <w:sz w:val="24"/>
          <w:szCs w:val="24"/>
          <w:lang w:val="id-ID"/>
        </w:rPr>
      </w:pPr>
      <w:r w:rsidRPr="001836E4">
        <w:rPr>
          <w:color w:val="auto"/>
          <w:sz w:val="24"/>
          <w:szCs w:val="24"/>
        </w:rPr>
        <w:t>This study uses two types of textbook analysis approaches namely didactic and content analysis. The didactic approach is used to examine the educational content implicit in the text, while content analysis is used to examine the text</w:t>
      </w:r>
      <w:r w:rsidR="00636821" w:rsidRPr="001836E4">
        <w:rPr>
          <w:color w:val="auto"/>
          <w:sz w:val="24"/>
          <w:szCs w:val="24"/>
        </w:rPr>
        <w:fldChar w:fldCharType="begin" w:fldLock="1"/>
      </w:r>
      <w:r w:rsidR="00DA6031" w:rsidRPr="001836E4">
        <w:rPr>
          <w:color w:val="auto"/>
          <w:sz w:val="24"/>
          <w:szCs w:val="24"/>
        </w:rPr>
        <w:instrText>ADDIN CSL_CITATION {"citationItems":[{"id":"ITEM-1","itemData":{"ISBN":"9789231041419","author":[{"dropping-particle":"","family":"Pingel","given":"Falk","non-dropping-particle":"","parse-names":false,"suffix":""}],"container-title":"UNESCO Education Sector","id":"ITEM-1","issued":{"date-parts":[["2010"]]},"number-of-pages":"67-79","publisher":"United Nations Educational, Scientific and Cul- tural Organzation, and the Georg Eckert Institute for International Textbook Research","publisher-place":"Paris","title":"UNESCO guidebook on textbook research and textbook revision (2nd revised and updated ed.)","type":"book"},"uris":["http://www.mendeley.com/documents/?uuid=171aefc2-8ce4-412a-bf1b-6c090e60b4c2"]}],"mendeley":{"formattedCitation":"[18]","plainTextFormattedCitation":"[18]","previouslyFormattedCitation":"[18]"},"properties":{"noteIndex":0},"schema":"https://github.com/citation-style-language/schema/raw/master/csl-citation.json"}</w:instrText>
      </w:r>
      <w:r w:rsidR="00636821" w:rsidRPr="001836E4">
        <w:rPr>
          <w:color w:val="auto"/>
          <w:sz w:val="24"/>
          <w:szCs w:val="24"/>
        </w:rPr>
        <w:fldChar w:fldCharType="separate"/>
      </w:r>
      <w:r w:rsidR="00C8452C" w:rsidRPr="001836E4">
        <w:rPr>
          <w:noProof/>
          <w:color w:val="auto"/>
          <w:sz w:val="24"/>
          <w:szCs w:val="24"/>
        </w:rPr>
        <w:t>[18]</w:t>
      </w:r>
      <w:r w:rsidR="00636821" w:rsidRPr="001836E4">
        <w:rPr>
          <w:color w:val="auto"/>
          <w:sz w:val="24"/>
          <w:szCs w:val="24"/>
        </w:rPr>
        <w:fldChar w:fldCharType="end"/>
      </w:r>
      <w:r w:rsidR="004E0C58" w:rsidRPr="001836E4">
        <w:rPr>
          <w:color w:val="auto"/>
          <w:sz w:val="24"/>
          <w:szCs w:val="24"/>
        </w:rPr>
        <w:t>. Furthermore, content analysis uses discourse analysis</w:t>
      </w:r>
      <w:r w:rsidRPr="00191FEB">
        <w:rPr>
          <w:sz w:val="24"/>
          <w:szCs w:val="24"/>
        </w:rPr>
        <w:t>critical model Roger Fowler et al. The main data sources used are Indonesian history textbooks for the 2013 curriculum revised 2017 class X, XI, and 2018 revised edition class XII published by the Ministry of Education and Culture of the Republic of Indonesia. Roger Fowler et al emphasized the vocabulary and grammar of the sentence in a language that is spoken</w:t>
      </w:r>
      <w:r w:rsidR="000C1BD4">
        <w:rPr>
          <w:sz w:val="24"/>
          <w:szCs w:val="24"/>
        </w:rPr>
        <w:fldChar w:fldCharType="begin" w:fldLock="1"/>
      </w:r>
      <w:r w:rsidR="001836E4">
        <w:rPr>
          <w:sz w:val="24"/>
          <w:szCs w:val="24"/>
        </w:rPr>
        <w:instrText>ADDIN CSL_CITATION {"citationItems":[{"id":"ITEM-1","itemData":{"author":[{"dropping-particle":"","family":"Eriyanto","given":"","non-dropping-particle":"","parse-names":false,"suffix":""}],"id":"ITEM-1","issued":{"date-parts":[["2011"]]},"publisher":"LKIS","publisher-place":"Yogyakarta","title":"Analisis Wacana: Pengantar Analisis Teks Media","type":"book"},"uris":["http://www.mendeley.com/documents/?uuid=be597620-daae-4a9b-b87f-301c98b33df2"]}],"mendeley":{"formattedCitation":"[19]","plainTextFormattedCitation":"[19]","previouslyFormattedCitation":"[19]"},"properties":{"noteIndex":0},"schema":"https://github.com/citation-style-language/schema/raw/master/csl-citation.json"}</w:instrText>
      </w:r>
      <w:r w:rsidR="000C1BD4">
        <w:rPr>
          <w:sz w:val="24"/>
          <w:szCs w:val="24"/>
        </w:rPr>
        <w:fldChar w:fldCharType="separate"/>
      </w:r>
      <w:r w:rsidR="000C1BD4" w:rsidRPr="000C1BD4">
        <w:rPr>
          <w:noProof/>
          <w:sz w:val="24"/>
          <w:szCs w:val="24"/>
        </w:rPr>
        <w:t>[19]</w:t>
      </w:r>
      <w:r w:rsidR="000C1BD4">
        <w:rPr>
          <w:sz w:val="24"/>
          <w:szCs w:val="24"/>
        </w:rPr>
        <w:fldChar w:fldCharType="end"/>
      </w:r>
      <w:r w:rsidRPr="00191FEB">
        <w:rPr>
          <w:sz w:val="24"/>
          <w:szCs w:val="24"/>
          <w:lang w:val="id-ID"/>
        </w:rPr>
        <w:t>. There are two levels in the analysis model of Roger Fowler et al. The micro level consists of words and sentences contained in the text, while the macro level is associated with history books and character education values ​​related to Islamic history material. Vocabulary and grammar are used to see the reality that represents character education in Indonesian history textbooks, especially on Islamic history material.</w:t>
      </w:r>
    </w:p>
    <w:p w:rsidR="007E2116" w:rsidRPr="00191FEB" w:rsidRDefault="007E2116" w:rsidP="009D1493">
      <w:pPr>
        <w:ind w:firstLine="567"/>
        <w:jc w:val="both"/>
        <w:rPr>
          <w:sz w:val="24"/>
          <w:szCs w:val="24"/>
          <w:lang w:val="id-ID"/>
        </w:rPr>
      </w:pPr>
      <w:r w:rsidRPr="00191FEB">
        <w:rPr>
          <w:sz w:val="24"/>
          <w:szCs w:val="24"/>
          <w:lang w:val="id-ID"/>
        </w:rPr>
        <w:t>This research focuses on the role of Muslims in history that illustrates the reality of events or actors who carry out actions and then write them down in text through language. Data collection techniques are carried out by means of documentation. The researcher not only records the contents, but also analyzes the meaning implicit in the fragment of the text. Character education in Indonesian history textbooks is represented in text through words and sentences. Data validity is done in a holistic way (linking text with context.), Historical situatedness (placing what is studied in the context of historical situatedness that surrounds it), and theory (related to interpretation and explanation)</w:t>
      </w:r>
      <w:r w:rsidR="001836E4">
        <w:rPr>
          <w:w w:val="105"/>
          <w:sz w:val="24"/>
          <w:szCs w:val="24"/>
        </w:rPr>
        <w:fldChar w:fldCharType="begin" w:fldLock="1"/>
      </w:r>
      <w:r w:rsidR="001836E4">
        <w:rPr>
          <w:w w:val="105"/>
          <w:sz w:val="24"/>
          <w:szCs w:val="24"/>
        </w:rPr>
        <w:instrText>ADDIN CSL_CITATION {"citationItems":[{"id":"ITEM-1","itemData":{"author":[{"dropping-particle":"","family":"Hamad","given":"Ibnu","non-dropping-particle":"","parse-names":false,"suffix":""}],"id":"ITEM-1","issued":{"date-parts":[["2012"]]},"title":"Perkembangan Analisis Wacana dalam Ilmu Komunikasi","type":"article"},"uris":["http://www.mendeley.com/documents/?uuid=da236d1a-122d-4de6-bf39-5fb163247bf5"]}],"mendeley":{"formattedCitation":"[20]","plainTextFormattedCitation":"[20]"},"properties":{"noteIndex":0},"schema":"https://github.com/citation-style-language/schema/raw/master/csl-citation.json"}</w:instrText>
      </w:r>
      <w:r w:rsidR="001836E4">
        <w:rPr>
          <w:w w:val="105"/>
          <w:sz w:val="24"/>
          <w:szCs w:val="24"/>
        </w:rPr>
        <w:fldChar w:fldCharType="separate"/>
      </w:r>
      <w:r w:rsidR="001836E4" w:rsidRPr="001836E4">
        <w:rPr>
          <w:noProof/>
          <w:w w:val="105"/>
          <w:sz w:val="24"/>
          <w:szCs w:val="24"/>
        </w:rPr>
        <w:t>[20]</w:t>
      </w:r>
      <w:r w:rsidR="001836E4">
        <w:rPr>
          <w:w w:val="105"/>
          <w:sz w:val="24"/>
          <w:szCs w:val="24"/>
        </w:rPr>
        <w:fldChar w:fldCharType="end"/>
      </w:r>
      <w:r w:rsidRPr="00191FEB">
        <w:rPr>
          <w:w w:val="105"/>
          <w:sz w:val="24"/>
          <w:szCs w:val="24"/>
        </w:rPr>
        <w:t>. Data checking is done repeatedly to avoid mistakes and actually get results whose truth can be ascertained and then described in the form of descriptive analysis.</w:t>
      </w:r>
    </w:p>
    <w:p w:rsidR="007E2116" w:rsidRPr="00191FEB" w:rsidRDefault="007E2116" w:rsidP="000E54F0">
      <w:pPr>
        <w:rPr>
          <w:b/>
          <w:sz w:val="24"/>
          <w:szCs w:val="24"/>
        </w:rPr>
      </w:pPr>
    </w:p>
    <w:p w:rsidR="007E2116" w:rsidRPr="00191FEB" w:rsidRDefault="007E2116" w:rsidP="000E54F0">
      <w:pPr>
        <w:rPr>
          <w:b/>
          <w:sz w:val="24"/>
          <w:szCs w:val="24"/>
        </w:rPr>
      </w:pPr>
      <w:r w:rsidRPr="00191FEB">
        <w:rPr>
          <w:b/>
          <w:sz w:val="24"/>
          <w:szCs w:val="24"/>
        </w:rPr>
        <w:t>Results and Discussion</w:t>
      </w:r>
    </w:p>
    <w:p w:rsidR="007E2116" w:rsidRPr="00191FEB" w:rsidRDefault="007E2116" w:rsidP="000E54F0">
      <w:pPr>
        <w:rPr>
          <w:b/>
          <w:sz w:val="24"/>
          <w:szCs w:val="24"/>
        </w:rPr>
      </w:pPr>
      <w:r w:rsidRPr="00191FEB">
        <w:rPr>
          <w:b/>
          <w:sz w:val="24"/>
          <w:szCs w:val="24"/>
        </w:rPr>
        <w:t>Trends in Character Content in Islamic History Materials (Rica)</w:t>
      </w:r>
    </w:p>
    <w:p w:rsidR="007E2116" w:rsidRPr="00191FEB" w:rsidRDefault="007E2116" w:rsidP="009D1493">
      <w:pPr>
        <w:ind w:firstLine="567"/>
        <w:jc w:val="both"/>
        <w:rPr>
          <w:sz w:val="24"/>
          <w:szCs w:val="24"/>
          <w:lang w:val="id-ID"/>
        </w:rPr>
      </w:pPr>
      <w:r w:rsidRPr="00191FEB">
        <w:rPr>
          <w:sz w:val="24"/>
          <w:szCs w:val="24"/>
        </w:rPr>
        <w:t xml:space="preserve">The textbook used in the analysis of this research is the history of Indonesia Curriculum 2013 revised edition 2017 published by the Ministry of Education and Culture Republic of Indonesia class X, XI, and 2018 edition for XII which can be downloaded on the page </w:t>
      </w:r>
      <w:hyperlink r:id="rId6" w:history="1">
        <w:r w:rsidRPr="00191FEB">
          <w:rPr>
            <w:rStyle w:val="Hyperlink"/>
            <w:color w:val="auto"/>
            <w:sz w:val="24"/>
            <w:szCs w:val="24"/>
            <w:u w:val="none"/>
          </w:rPr>
          <w:t>http://puskurbuk.kemendikbud.go.id</w:t>
        </w:r>
      </w:hyperlink>
      <w:r w:rsidRPr="00191FEB">
        <w:rPr>
          <w:sz w:val="24"/>
          <w:szCs w:val="24"/>
        </w:rPr>
        <w:t>. This textbook analysis study centers on the values ​​of cultural education and national character consisting of: (1) religious, (2) honest, (3) tolerance, (4) discipline, (5) hard work, (6) creative, (7) independent, (8) democratic, (9) curiosity, (10) national spirit, (11) patriotism, (12) valuing achievement, (13) friendship / communicative, (14) peace love, ( 15) love to read, (16) care about the environment, (17) care about social, and (18) responsibility.</w:t>
      </w:r>
    </w:p>
    <w:p w:rsidR="007E2116" w:rsidRPr="00045D29" w:rsidRDefault="007E2116" w:rsidP="009D1493">
      <w:pPr>
        <w:ind w:firstLine="567"/>
        <w:jc w:val="both"/>
        <w:rPr>
          <w:sz w:val="24"/>
          <w:szCs w:val="24"/>
        </w:rPr>
      </w:pPr>
      <w:r w:rsidRPr="00191FEB">
        <w:rPr>
          <w:sz w:val="24"/>
          <w:szCs w:val="24"/>
          <w:lang w:val="id-ID"/>
        </w:rPr>
        <w:t xml:space="preserve">This research only contains material on Islamic history, so that the analysis of this textbook is carried out per section. The details of the authors of each book analyzed are as follows: (1) Class X 2013 Curriculum 2013 revised edition 2017, written by Restu Gunawan, </w:t>
      </w:r>
      <w:r w:rsidRPr="00191FEB">
        <w:rPr>
          <w:sz w:val="24"/>
          <w:szCs w:val="24"/>
          <w:lang w:val="id-ID"/>
        </w:rPr>
        <w:lastRenderedPageBreak/>
        <w:t>Amurwani Dwi Lestariningsih, Sardiman AM; (2) Class XI of the 2013 revised edition of the 2013 curriculum, written by Sardiman AM and Amurwani Dwi Lestariningsih; and (3) class XII Curriculum 2013 revised edition 2018, written by Abdurakhman, Arif Pradono, Linda Sunarti, and Susanto Zuhdi.</w:t>
      </w:r>
    </w:p>
    <w:p w:rsidR="007E2116" w:rsidRPr="00045D29" w:rsidRDefault="007E2116" w:rsidP="009D1493">
      <w:pPr>
        <w:pStyle w:val="ListParagraph"/>
        <w:spacing w:after="0" w:line="240" w:lineRule="auto"/>
        <w:ind w:left="0" w:firstLine="567"/>
        <w:jc w:val="both"/>
        <w:rPr>
          <w:rFonts w:ascii="Times New Roman" w:hAnsi="Times New Roman"/>
          <w:sz w:val="24"/>
          <w:szCs w:val="24"/>
        </w:rPr>
      </w:pPr>
      <w:r w:rsidRPr="00045D29">
        <w:rPr>
          <w:rFonts w:ascii="Times New Roman" w:hAnsi="Times New Roman"/>
          <w:sz w:val="24"/>
          <w:szCs w:val="24"/>
        </w:rPr>
        <w:t>Based on the research of critical discourse analysis by Roger Fowler et al, in the textbook the results are as shown in the following table.</w:t>
      </w:r>
    </w:p>
    <w:p w:rsidR="007E2116" w:rsidRPr="00191FEB" w:rsidRDefault="007E2116" w:rsidP="000E54F0">
      <w:pPr>
        <w:pStyle w:val="ListParagraph"/>
        <w:spacing w:after="0" w:line="240" w:lineRule="auto"/>
        <w:ind w:left="0" w:firstLine="720"/>
        <w:jc w:val="both"/>
        <w:rPr>
          <w:rFonts w:ascii="Times New Roman" w:hAnsi="Times New Roman"/>
          <w:sz w:val="24"/>
          <w:szCs w:val="24"/>
        </w:rPr>
      </w:pPr>
    </w:p>
    <w:p w:rsidR="007E2116" w:rsidRPr="00191FEB" w:rsidRDefault="007E2116" w:rsidP="000E54F0">
      <w:pPr>
        <w:jc w:val="center"/>
        <w:rPr>
          <w:lang w:val="id-ID"/>
        </w:rPr>
      </w:pPr>
      <w:r w:rsidRPr="00191FEB">
        <w:rPr>
          <w:b/>
        </w:rPr>
        <w:t xml:space="preserve">Table 1 </w:t>
      </w:r>
      <w:r w:rsidRPr="00191FEB">
        <w:t>Recapitulation of Cultural Education Values ​​and Nation Character in Indonesian High School History Textbooks on Islamic History Materials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2183"/>
        <w:gridCol w:w="965"/>
        <w:gridCol w:w="1549"/>
        <w:gridCol w:w="1485"/>
        <w:gridCol w:w="931"/>
        <w:gridCol w:w="1217"/>
      </w:tblGrid>
      <w:tr w:rsidR="007E2116" w:rsidRPr="00191FEB" w:rsidTr="007E2116">
        <w:trPr>
          <w:tblHeader/>
        </w:trPr>
        <w:tc>
          <w:tcPr>
            <w:tcW w:w="686" w:type="dxa"/>
            <w:vMerge w:val="restart"/>
            <w:vAlign w:val="center"/>
          </w:tcPr>
          <w:p w:rsidR="007E2116" w:rsidRPr="00191FEB" w:rsidRDefault="007E2116" w:rsidP="000E54F0">
            <w:pPr>
              <w:jc w:val="center"/>
              <w:rPr>
                <w:b/>
                <w:lang w:val="id-ID"/>
              </w:rPr>
            </w:pPr>
            <w:r w:rsidRPr="00191FEB">
              <w:rPr>
                <w:b/>
                <w:lang w:val="id-ID"/>
              </w:rPr>
              <w:t>No</w:t>
            </w:r>
          </w:p>
        </w:tc>
        <w:tc>
          <w:tcPr>
            <w:tcW w:w="2183" w:type="dxa"/>
            <w:vMerge w:val="restart"/>
            <w:vAlign w:val="center"/>
          </w:tcPr>
          <w:p w:rsidR="007E2116" w:rsidRPr="00191FEB" w:rsidRDefault="007E2116" w:rsidP="000E54F0">
            <w:pPr>
              <w:jc w:val="center"/>
              <w:rPr>
                <w:b/>
                <w:lang w:val="id-ID"/>
              </w:rPr>
            </w:pPr>
            <w:r w:rsidRPr="00191FEB">
              <w:rPr>
                <w:b/>
                <w:lang w:val="id-ID"/>
              </w:rPr>
              <w:t>Score</w:t>
            </w:r>
          </w:p>
        </w:tc>
        <w:tc>
          <w:tcPr>
            <w:tcW w:w="4930" w:type="dxa"/>
            <w:gridSpan w:val="4"/>
            <w:tcBorders>
              <w:bottom w:val="single" w:sz="4" w:space="0" w:color="auto"/>
            </w:tcBorders>
            <w:vAlign w:val="center"/>
          </w:tcPr>
          <w:p w:rsidR="007E2116" w:rsidRPr="00191FEB" w:rsidRDefault="007E2116" w:rsidP="000E54F0">
            <w:pPr>
              <w:jc w:val="center"/>
              <w:rPr>
                <w:b/>
                <w:lang w:val="id-ID"/>
              </w:rPr>
            </w:pPr>
            <w:r w:rsidRPr="00191FEB">
              <w:rPr>
                <w:b/>
                <w:lang w:val="id-ID"/>
              </w:rPr>
              <w:t>Indonesian History Textbooks</w:t>
            </w:r>
          </w:p>
        </w:tc>
        <w:tc>
          <w:tcPr>
            <w:tcW w:w="1217" w:type="dxa"/>
            <w:vMerge w:val="restart"/>
            <w:vAlign w:val="center"/>
          </w:tcPr>
          <w:p w:rsidR="007E2116" w:rsidRPr="00191FEB" w:rsidRDefault="007E2116" w:rsidP="000E54F0">
            <w:pPr>
              <w:jc w:val="center"/>
              <w:rPr>
                <w:b/>
                <w:lang w:val="id-ID"/>
              </w:rPr>
            </w:pPr>
            <w:r w:rsidRPr="00191FEB">
              <w:rPr>
                <w:b/>
                <w:lang w:val="id-ID"/>
              </w:rPr>
              <w:t>total</w:t>
            </w:r>
          </w:p>
        </w:tc>
      </w:tr>
      <w:tr w:rsidR="007E2116" w:rsidRPr="00191FEB" w:rsidTr="007E2116">
        <w:trPr>
          <w:tblHeader/>
        </w:trPr>
        <w:tc>
          <w:tcPr>
            <w:tcW w:w="686" w:type="dxa"/>
            <w:vMerge/>
            <w:tcBorders>
              <w:bottom w:val="single" w:sz="4" w:space="0" w:color="auto"/>
            </w:tcBorders>
          </w:tcPr>
          <w:p w:rsidR="007E2116" w:rsidRPr="00191FEB" w:rsidRDefault="007E2116" w:rsidP="000E54F0">
            <w:pPr>
              <w:jc w:val="center"/>
              <w:rPr>
                <w:lang w:val="id-ID"/>
              </w:rPr>
            </w:pPr>
          </w:p>
        </w:tc>
        <w:tc>
          <w:tcPr>
            <w:tcW w:w="2183" w:type="dxa"/>
            <w:vMerge/>
            <w:tcBorders>
              <w:bottom w:val="single" w:sz="4" w:space="0" w:color="auto"/>
            </w:tcBorders>
          </w:tcPr>
          <w:p w:rsidR="007E2116" w:rsidRPr="00191FEB" w:rsidRDefault="007E2116" w:rsidP="000E54F0">
            <w:pPr>
              <w:jc w:val="center"/>
              <w:rPr>
                <w:lang w:val="id-ID"/>
              </w:rPr>
            </w:pPr>
          </w:p>
        </w:tc>
        <w:tc>
          <w:tcPr>
            <w:tcW w:w="965" w:type="dxa"/>
            <w:tcBorders>
              <w:top w:val="single" w:sz="4" w:space="0" w:color="auto"/>
              <w:bottom w:val="single" w:sz="4" w:space="0" w:color="auto"/>
            </w:tcBorders>
            <w:vAlign w:val="center"/>
          </w:tcPr>
          <w:p w:rsidR="007E2116" w:rsidRPr="00191FEB" w:rsidRDefault="007E2116" w:rsidP="000E54F0">
            <w:pPr>
              <w:jc w:val="center"/>
              <w:rPr>
                <w:b/>
                <w:lang w:val="id-ID"/>
              </w:rPr>
            </w:pPr>
            <w:r w:rsidRPr="00191FEB">
              <w:rPr>
                <w:b/>
                <w:lang w:val="id-ID"/>
              </w:rPr>
              <w:t>X</w:t>
            </w:r>
          </w:p>
        </w:tc>
        <w:tc>
          <w:tcPr>
            <w:tcW w:w="1549" w:type="dxa"/>
            <w:tcBorders>
              <w:top w:val="single" w:sz="4" w:space="0" w:color="auto"/>
              <w:bottom w:val="single" w:sz="4" w:space="0" w:color="auto"/>
            </w:tcBorders>
            <w:vAlign w:val="center"/>
          </w:tcPr>
          <w:p w:rsidR="007E2116" w:rsidRPr="00191FEB" w:rsidRDefault="007E2116" w:rsidP="000E54F0">
            <w:pPr>
              <w:jc w:val="center"/>
              <w:rPr>
                <w:b/>
                <w:lang w:val="id-ID"/>
              </w:rPr>
            </w:pPr>
            <w:r w:rsidRPr="00191FEB">
              <w:rPr>
                <w:b/>
                <w:lang w:val="id-ID"/>
              </w:rPr>
              <w:t>XI Semester 1</w:t>
            </w:r>
          </w:p>
        </w:tc>
        <w:tc>
          <w:tcPr>
            <w:tcW w:w="1485" w:type="dxa"/>
            <w:tcBorders>
              <w:top w:val="single" w:sz="4" w:space="0" w:color="auto"/>
              <w:bottom w:val="single" w:sz="4" w:space="0" w:color="auto"/>
            </w:tcBorders>
            <w:vAlign w:val="center"/>
          </w:tcPr>
          <w:p w:rsidR="007E2116" w:rsidRPr="00191FEB" w:rsidRDefault="007E2116" w:rsidP="000E54F0">
            <w:pPr>
              <w:jc w:val="center"/>
              <w:rPr>
                <w:b/>
                <w:lang w:val="id-ID"/>
              </w:rPr>
            </w:pPr>
            <w:r w:rsidRPr="00191FEB">
              <w:rPr>
                <w:b/>
                <w:lang w:val="id-ID"/>
              </w:rPr>
              <w:t>XI Semester 2</w:t>
            </w:r>
          </w:p>
        </w:tc>
        <w:tc>
          <w:tcPr>
            <w:tcW w:w="931" w:type="dxa"/>
            <w:tcBorders>
              <w:top w:val="single" w:sz="4" w:space="0" w:color="auto"/>
              <w:bottom w:val="single" w:sz="4" w:space="0" w:color="auto"/>
            </w:tcBorders>
            <w:vAlign w:val="center"/>
          </w:tcPr>
          <w:p w:rsidR="007E2116" w:rsidRPr="00191FEB" w:rsidRDefault="007E2116" w:rsidP="000E54F0">
            <w:pPr>
              <w:jc w:val="center"/>
              <w:rPr>
                <w:b/>
                <w:lang w:val="id-ID"/>
              </w:rPr>
            </w:pPr>
            <w:r w:rsidRPr="00191FEB">
              <w:rPr>
                <w:b/>
                <w:lang w:val="id-ID"/>
              </w:rPr>
              <w:t>XII</w:t>
            </w:r>
          </w:p>
        </w:tc>
        <w:tc>
          <w:tcPr>
            <w:tcW w:w="1217" w:type="dxa"/>
            <w:vMerge/>
            <w:tcBorders>
              <w:bottom w:val="single" w:sz="4" w:space="0" w:color="auto"/>
            </w:tcBorders>
          </w:tcPr>
          <w:p w:rsidR="007E2116" w:rsidRPr="00191FEB" w:rsidRDefault="007E2116" w:rsidP="000E54F0">
            <w:pPr>
              <w:jc w:val="center"/>
              <w:rPr>
                <w:lang w:val="id-ID"/>
              </w:rPr>
            </w:pPr>
          </w:p>
        </w:tc>
      </w:tr>
      <w:tr w:rsidR="00191FEB" w:rsidRPr="00191FEB" w:rsidTr="007E2116">
        <w:tc>
          <w:tcPr>
            <w:tcW w:w="686" w:type="dxa"/>
            <w:tcBorders>
              <w:top w:val="single" w:sz="4" w:space="0" w:color="auto"/>
            </w:tcBorders>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Borders>
              <w:top w:val="single" w:sz="4" w:space="0" w:color="auto"/>
            </w:tcBorders>
          </w:tcPr>
          <w:p w:rsidR="007E2116" w:rsidRPr="00191FEB" w:rsidRDefault="007E2116" w:rsidP="000E54F0">
            <w:pPr>
              <w:autoSpaceDE w:val="0"/>
              <w:autoSpaceDN w:val="0"/>
              <w:adjustRightInd w:val="0"/>
              <w:jc w:val="both"/>
              <w:rPr>
                <w:b/>
                <w:bCs/>
              </w:rPr>
            </w:pPr>
            <w:r w:rsidRPr="00191FEB">
              <w:t>Religious</w:t>
            </w:r>
          </w:p>
        </w:tc>
        <w:tc>
          <w:tcPr>
            <w:tcW w:w="965" w:type="dxa"/>
            <w:tcBorders>
              <w:top w:val="single" w:sz="4" w:space="0" w:color="auto"/>
            </w:tcBorders>
            <w:vAlign w:val="center"/>
          </w:tcPr>
          <w:p w:rsidR="007E2116" w:rsidRPr="00191FEB" w:rsidRDefault="007E2116" w:rsidP="000E54F0">
            <w:pPr>
              <w:jc w:val="center"/>
            </w:pPr>
            <w:r w:rsidRPr="00191FEB">
              <w:t>5</w:t>
            </w:r>
          </w:p>
        </w:tc>
        <w:tc>
          <w:tcPr>
            <w:tcW w:w="1549" w:type="dxa"/>
            <w:tcBorders>
              <w:top w:val="single" w:sz="4" w:space="0" w:color="auto"/>
            </w:tcBorders>
            <w:vAlign w:val="center"/>
          </w:tcPr>
          <w:p w:rsidR="007E2116" w:rsidRPr="00191FEB" w:rsidRDefault="007E2116" w:rsidP="000E54F0">
            <w:pPr>
              <w:jc w:val="center"/>
            </w:pPr>
            <w:r w:rsidRPr="00191FEB">
              <w:t>1</w:t>
            </w:r>
          </w:p>
        </w:tc>
        <w:tc>
          <w:tcPr>
            <w:tcW w:w="1485" w:type="dxa"/>
            <w:tcBorders>
              <w:top w:val="single" w:sz="4" w:space="0" w:color="auto"/>
            </w:tcBorders>
            <w:vAlign w:val="center"/>
          </w:tcPr>
          <w:p w:rsidR="007E2116" w:rsidRPr="00191FEB" w:rsidRDefault="007E2116" w:rsidP="000E54F0">
            <w:pPr>
              <w:jc w:val="center"/>
            </w:pPr>
            <w:r w:rsidRPr="00191FEB">
              <w:t>1</w:t>
            </w:r>
          </w:p>
        </w:tc>
        <w:tc>
          <w:tcPr>
            <w:tcW w:w="931" w:type="dxa"/>
            <w:tcBorders>
              <w:top w:val="single" w:sz="4" w:space="0" w:color="auto"/>
            </w:tcBorders>
            <w:vAlign w:val="center"/>
          </w:tcPr>
          <w:p w:rsidR="007E2116" w:rsidRPr="00191FEB" w:rsidRDefault="007E2116" w:rsidP="000E54F0">
            <w:pPr>
              <w:jc w:val="center"/>
            </w:pPr>
            <w:r w:rsidRPr="00191FEB">
              <w:t>-</w:t>
            </w:r>
          </w:p>
        </w:tc>
        <w:tc>
          <w:tcPr>
            <w:tcW w:w="1217" w:type="dxa"/>
            <w:tcBorders>
              <w:top w:val="single" w:sz="4" w:space="0" w:color="auto"/>
            </w:tcBorders>
            <w:vAlign w:val="center"/>
          </w:tcPr>
          <w:p w:rsidR="007E2116" w:rsidRPr="00191FEB" w:rsidRDefault="007E2116" w:rsidP="000E54F0">
            <w:pPr>
              <w:jc w:val="center"/>
            </w:pPr>
            <w:r w:rsidRPr="00191FEB">
              <w:t>7</w:t>
            </w:r>
          </w:p>
        </w:tc>
      </w:tr>
      <w:tr w:rsidR="00191FEB"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Honest</w:t>
            </w:r>
          </w:p>
        </w:tc>
        <w:tc>
          <w:tcPr>
            <w:tcW w:w="965" w:type="dxa"/>
            <w:vAlign w:val="center"/>
          </w:tcPr>
          <w:p w:rsidR="007E2116" w:rsidRPr="00191FEB" w:rsidRDefault="007E2116" w:rsidP="000E54F0">
            <w:pPr>
              <w:jc w:val="center"/>
            </w:pPr>
            <w:r w:rsidRPr="00191FEB">
              <w:t>1</w:t>
            </w:r>
          </w:p>
        </w:tc>
        <w:tc>
          <w:tcPr>
            <w:tcW w:w="1549" w:type="dxa"/>
            <w:vAlign w:val="center"/>
          </w:tcPr>
          <w:p w:rsidR="007E2116" w:rsidRPr="00191FEB" w:rsidRDefault="007E2116" w:rsidP="000E54F0">
            <w:pPr>
              <w:jc w:val="center"/>
            </w:pPr>
            <w:r w:rsidRPr="00191FEB">
              <w:t>1</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2</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Tolerance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2</w:t>
            </w:r>
          </w:p>
        </w:tc>
        <w:tc>
          <w:tcPr>
            <w:tcW w:w="1217" w:type="dxa"/>
            <w:vAlign w:val="center"/>
          </w:tcPr>
          <w:p w:rsidR="007E2116" w:rsidRPr="00191FEB" w:rsidRDefault="007E2116" w:rsidP="000E54F0">
            <w:pPr>
              <w:jc w:val="center"/>
            </w:pPr>
            <w:r w:rsidRPr="00191FEB">
              <w:t>2</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Discipline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pPr>
            <w:r w:rsidRPr="00191FEB">
              <w:t>Hard work</w:t>
            </w:r>
          </w:p>
        </w:tc>
        <w:tc>
          <w:tcPr>
            <w:tcW w:w="965" w:type="dxa"/>
            <w:vAlign w:val="center"/>
          </w:tcPr>
          <w:p w:rsidR="007E2116" w:rsidRPr="00191FEB" w:rsidRDefault="007E2116" w:rsidP="000E54F0">
            <w:pPr>
              <w:jc w:val="center"/>
            </w:pPr>
            <w:r w:rsidRPr="00191FEB">
              <w:t>1</w:t>
            </w:r>
          </w:p>
        </w:tc>
        <w:tc>
          <w:tcPr>
            <w:tcW w:w="1549" w:type="dxa"/>
            <w:vAlign w:val="center"/>
          </w:tcPr>
          <w:p w:rsidR="007E2116" w:rsidRPr="00191FEB" w:rsidRDefault="007E2116" w:rsidP="000E54F0">
            <w:pPr>
              <w:jc w:val="center"/>
            </w:pPr>
            <w:r w:rsidRPr="00191FEB">
              <w:t>1</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1</w:t>
            </w:r>
          </w:p>
        </w:tc>
        <w:tc>
          <w:tcPr>
            <w:tcW w:w="1217" w:type="dxa"/>
            <w:vAlign w:val="center"/>
          </w:tcPr>
          <w:p w:rsidR="007E2116" w:rsidRPr="00191FEB" w:rsidRDefault="007E2116" w:rsidP="000E54F0">
            <w:pPr>
              <w:jc w:val="center"/>
            </w:pPr>
            <w:r w:rsidRPr="00191FEB">
              <w:t>3</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Creative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5</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5</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Mandiri</w:t>
            </w:r>
          </w:p>
        </w:tc>
        <w:tc>
          <w:tcPr>
            <w:tcW w:w="965" w:type="dxa"/>
            <w:vAlign w:val="center"/>
          </w:tcPr>
          <w:p w:rsidR="007E2116" w:rsidRPr="00191FEB" w:rsidRDefault="007E2116" w:rsidP="000E54F0">
            <w:pPr>
              <w:jc w:val="center"/>
            </w:pPr>
            <w:r w:rsidRPr="00191FEB">
              <w:t>1</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1</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Democratic</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1</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2</w:t>
            </w:r>
          </w:p>
        </w:tc>
        <w:tc>
          <w:tcPr>
            <w:tcW w:w="1217" w:type="dxa"/>
            <w:vAlign w:val="center"/>
          </w:tcPr>
          <w:p w:rsidR="007E2116" w:rsidRPr="00191FEB" w:rsidRDefault="007E2116" w:rsidP="000E54F0">
            <w:pPr>
              <w:jc w:val="center"/>
            </w:pPr>
            <w:r w:rsidRPr="00191FEB">
              <w:t>3</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Curiosity</w:t>
            </w:r>
          </w:p>
        </w:tc>
        <w:tc>
          <w:tcPr>
            <w:tcW w:w="965" w:type="dxa"/>
            <w:vAlign w:val="center"/>
          </w:tcPr>
          <w:p w:rsidR="007E2116" w:rsidRPr="00191FEB" w:rsidRDefault="007E2116" w:rsidP="000E54F0">
            <w:pPr>
              <w:jc w:val="center"/>
            </w:pPr>
            <w:r w:rsidRPr="00191FEB">
              <w:t>5</w:t>
            </w:r>
          </w:p>
        </w:tc>
        <w:tc>
          <w:tcPr>
            <w:tcW w:w="1549" w:type="dxa"/>
            <w:vAlign w:val="center"/>
          </w:tcPr>
          <w:p w:rsidR="007E2116" w:rsidRPr="00191FEB" w:rsidRDefault="007E2116" w:rsidP="000E54F0">
            <w:pPr>
              <w:jc w:val="center"/>
            </w:pPr>
            <w:r w:rsidRPr="00191FEB">
              <w:t>1</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6</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Spirit of nationality</w:t>
            </w:r>
          </w:p>
        </w:tc>
        <w:tc>
          <w:tcPr>
            <w:tcW w:w="965" w:type="dxa"/>
            <w:vAlign w:val="center"/>
          </w:tcPr>
          <w:p w:rsidR="007E2116" w:rsidRPr="00191FEB" w:rsidRDefault="007E2116" w:rsidP="000E54F0">
            <w:pPr>
              <w:jc w:val="center"/>
            </w:pPr>
            <w:r w:rsidRPr="00191FEB">
              <w:t>3</w:t>
            </w:r>
          </w:p>
        </w:tc>
        <w:tc>
          <w:tcPr>
            <w:tcW w:w="1549" w:type="dxa"/>
            <w:vAlign w:val="center"/>
          </w:tcPr>
          <w:p w:rsidR="007E2116" w:rsidRPr="00191FEB" w:rsidRDefault="007E2116" w:rsidP="000E54F0">
            <w:pPr>
              <w:jc w:val="center"/>
            </w:pPr>
            <w:r w:rsidRPr="00191FEB">
              <w:t>19</w:t>
            </w:r>
          </w:p>
        </w:tc>
        <w:tc>
          <w:tcPr>
            <w:tcW w:w="1485" w:type="dxa"/>
            <w:vAlign w:val="center"/>
          </w:tcPr>
          <w:p w:rsidR="007E2116" w:rsidRPr="00191FEB" w:rsidRDefault="007E2116" w:rsidP="000E54F0">
            <w:pPr>
              <w:jc w:val="center"/>
            </w:pPr>
            <w:r w:rsidRPr="00191FEB">
              <w:t>5</w:t>
            </w:r>
          </w:p>
        </w:tc>
        <w:tc>
          <w:tcPr>
            <w:tcW w:w="931" w:type="dxa"/>
            <w:vAlign w:val="center"/>
          </w:tcPr>
          <w:p w:rsidR="007E2116" w:rsidRPr="00191FEB" w:rsidRDefault="007E2116" w:rsidP="000E54F0">
            <w:pPr>
              <w:jc w:val="center"/>
            </w:pPr>
            <w:r w:rsidRPr="00191FEB">
              <w:t>3</w:t>
            </w:r>
          </w:p>
        </w:tc>
        <w:tc>
          <w:tcPr>
            <w:tcW w:w="1217" w:type="dxa"/>
            <w:vAlign w:val="center"/>
          </w:tcPr>
          <w:p w:rsidR="007E2116" w:rsidRPr="00191FEB" w:rsidRDefault="007E2116" w:rsidP="000E54F0">
            <w:pPr>
              <w:jc w:val="center"/>
            </w:pPr>
            <w:r w:rsidRPr="00191FEB">
              <w:t>30</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Love the country</w:t>
            </w:r>
          </w:p>
        </w:tc>
        <w:tc>
          <w:tcPr>
            <w:tcW w:w="965" w:type="dxa"/>
            <w:vAlign w:val="center"/>
          </w:tcPr>
          <w:p w:rsidR="007E2116" w:rsidRPr="00191FEB" w:rsidRDefault="007E2116" w:rsidP="000E54F0">
            <w:pPr>
              <w:jc w:val="center"/>
            </w:pPr>
            <w:r w:rsidRPr="00191FEB">
              <w:t>1</w:t>
            </w:r>
          </w:p>
        </w:tc>
        <w:tc>
          <w:tcPr>
            <w:tcW w:w="1549" w:type="dxa"/>
            <w:vAlign w:val="center"/>
          </w:tcPr>
          <w:p w:rsidR="007E2116" w:rsidRPr="00191FEB" w:rsidRDefault="007E2116" w:rsidP="000E54F0">
            <w:pPr>
              <w:jc w:val="center"/>
            </w:pPr>
            <w:r w:rsidRPr="00191FEB">
              <w:t>2</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4</w:t>
            </w:r>
          </w:p>
        </w:tc>
        <w:tc>
          <w:tcPr>
            <w:tcW w:w="1217" w:type="dxa"/>
            <w:vAlign w:val="center"/>
          </w:tcPr>
          <w:p w:rsidR="007E2116" w:rsidRPr="00191FEB" w:rsidRDefault="007E2116" w:rsidP="000E54F0">
            <w:pPr>
              <w:jc w:val="center"/>
            </w:pPr>
            <w:r w:rsidRPr="00191FEB">
              <w:t>7</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Appreciate Achievement</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1</w:t>
            </w:r>
          </w:p>
        </w:tc>
        <w:tc>
          <w:tcPr>
            <w:tcW w:w="931" w:type="dxa"/>
            <w:vAlign w:val="center"/>
          </w:tcPr>
          <w:p w:rsidR="007E2116" w:rsidRPr="00191FEB" w:rsidRDefault="007E2116" w:rsidP="000E54F0">
            <w:pPr>
              <w:jc w:val="center"/>
            </w:pPr>
            <w:r w:rsidRPr="00191FEB">
              <w:t>1</w:t>
            </w:r>
          </w:p>
        </w:tc>
        <w:tc>
          <w:tcPr>
            <w:tcW w:w="1217" w:type="dxa"/>
            <w:vAlign w:val="center"/>
          </w:tcPr>
          <w:p w:rsidR="007E2116" w:rsidRPr="00191FEB" w:rsidRDefault="007E2116" w:rsidP="000E54F0">
            <w:pPr>
              <w:jc w:val="center"/>
            </w:pPr>
            <w:r w:rsidRPr="00191FEB">
              <w:t>2</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Friendly / Communicative</w:t>
            </w:r>
          </w:p>
        </w:tc>
        <w:tc>
          <w:tcPr>
            <w:tcW w:w="965" w:type="dxa"/>
            <w:vAlign w:val="center"/>
          </w:tcPr>
          <w:p w:rsidR="007E2116" w:rsidRPr="00191FEB" w:rsidRDefault="007E2116" w:rsidP="000E54F0">
            <w:pPr>
              <w:jc w:val="center"/>
            </w:pPr>
            <w:r w:rsidRPr="00191FEB">
              <w:t>9</w:t>
            </w:r>
          </w:p>
        </w:tc>
        <w:tc>
          <w:tcPr>
            <w:tcW w:w="1549" w:type="dxa"/>
            <w:vAlign w:val="center"/>
          </w:tcPr>
          <w:p w:rsidR="007E2116" w:rsidRPr="00191FEB" w:rsidRDefault="007E2116" w:rsidP="000E54F0">
            <w:pPr>
              <w:jc w:val="center"/>
            </w:pPr>
            <w:r w:rsidRPr="00191FEB">
              <w:t>9</w:t>
            </w:r>
          </w:p>
        </w:tc>
        <w:tc>
          <w:tcPr>
            <w:tcW w:w="1485" w:type="dxa"/>
            <w:vAlign w:val="center"/>
          </w:tcPr>
          <w:p w:rsidR="007E2116" w:rsidRPr="00191FEB" w:rsidRDefault="007E2116" w:rsidP="000E54F0">
            <w:pPr>
              <w:jc w:val="center"/>
            </w:pPr>
            <w:r w:rsidRPr="00191FEB">
              <w:t>7</w:t>
            </w:r>
          </w:p>
        </w:tc>
        <w:tc>
          <w:tcPr>
            <w:tcW w:w="931" w:type="dxa"/>
            <w:vAlign w:val="center"/>
          </w:tcPr>
          <w:p w:rsidR="007E2116" w:rsidRPr="00191FEB" w:rsidRDefault="007E2116" w:rsidP="000E54F0">
            <w:pPr>
              <w:jc w:val="center"/>
            </w:pPr>
            <w:r w:rsidRPr="00191FEB">
              <w:t>4</w:t>
            </w:r>
          </w:p>
        </w:tc>
        <w:tc>
          <w:tcPr>
            <w:tcW w:w="1217" w:type="dxa"/>
            <w:vAlign w:val="center"/>
          </w:tcPr>
          <w:p w:rsidR="007E2116" w:rsidRPr="00191FEB" w:rsidRDefault="007E2116" w:rsidP="000E54F0">
            <w:pPr>
              <w:jc w:val="center"/>
            </w:pPr>
            <w:r w:rsidRPr="00191FEB">
              <w:t>29</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Love peace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Like to read</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Environmental care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w:t>
            </w:r>
          </w:p>
        </w:tc>
        <w:tc>
          <w:tcPr>
            <w:tcW w:w="1485" w:type="dxa"/>
            <w:vAlign w:val="center"/>
          </w:tcPr>
          <w:p w:rsidR="007E2116" w:rsidRPr="00191FEB" w:rsidRDefault="007E2116" w:rsidP="000E54F0">
            <w:pPr>
              <w:jc w:val="center"/>
            </w:pPr>
            <w:r w:rsidRPr="00191FEB">
              <w:t>-</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w:t>
            </w:r>
          </w:p>
        </w:tc>
      </w:tr>
      <w:tr w:rsidR="007E2116" w:rsidRPr="00191FEB" w:rsidTr="007E2116">
        <w:tc>
          <w:tcPr>
            <w:tcW w:w="686" w:type="dxa"/>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Pr>
          <w:p w:rsidR="007E2116" w:rsidRPr="00191FEB" w:rsidRDefault="007E2116" w:rsidP="000E54F0">
            <w:pPr>
              <w:autoSpaceDE w:val="0"/>
              <w:autoSpaceDN w:val="0"/>
              <w:adjustRightInd w:val="0"/>
              <w:jc w:val="both"/>
              <w:rPr>
                <w:b/>
                <w:bCs/>
              </w:rPr>
            </w:pPr>
            <w:r w:rsidRPr="00191FEB">
              <w:t>Social care</w:t>
            </w:r>
          </w:p>
        </w:tc>
        <w:tc>
          <w:tcPr>
            <w:tcW w:w="965" w:type="dxa"/>
            <w:vAlign w:val="center"/>
          </w:tcPr>
          <w:p w:rsidR="007E2116" w:rsidRPr="00191FEB" w:rsidRDefault="007E2116" w:rsidP="000E54F0">
            <w:pPr>
              <w:jc w:val="center"/>
            </w:pPr>
            <w:r w:rsidRPr="00191FEB">
              <w:t>-</w:t>
            </w:r>
          </w:p>
        </w:tc>
        <w:tc>
          <w:tcPr>
            <w:tcW w:w="1549" w:type="dxa"/>
            <w:vAlign w:val="center"/>
          </w:tcPr>
          <w:p w:rsidR="007E2116" w:rsidRPr="00191FEB" w:rsidRDefault="007E2116" w:rsidP="000E54F0">
            <w:pPr>
              <w:jc w:val="center"/>
            </w:pPr>
            <w:r w:rsidRPr="00191FEB">
              <w:t>1</w:t>
            </w:r>
          </w:p>
        </w:tc>
        <w:tc>
          <w:tcPr>
            <w:tcW w:w="1485" w:type="dxa"/>
            <w:vAlign w:val="center"/>
          </w:tcPr>
          <w:p w:rsidR="007E2116" w:rsidRPr="00191FEB" w:rsidRDefault="007E2116" w:rsidP="000E54F0">
            <w:pPr>
              <w:jc w:val="center"/>
            </w:pPr>
            <w:r w:rsidRPr="00191FEB">
              <w:t>1</w:t>
            </w:r>
          </w:p>
        </w:tc>
        <w:tc>
          <w:tcPr>
            <w:tcW w:w="931" w:type="dxa"/>
            <w:vAlign w:val="center"/>
          </w:tcPr>
          <w:p w:rsidR="007E2116" w:rsidRPr="00191FEB" w:rsidRDefault="007E2116" w:rsidP="000E54F0">
            <w:pPr>
              <w:jc w:val="center"/>
            </w:pPr>
            <w:r w:rsidRPr="00191FEB">
              <w:t>-</w:t>
            </w:r>
          </w:p>
        </w:tc>
        <w:tc>
          <w:tcPr>
            <w:tcW w:w="1217" w:type="dxa"/>
            <w:vAlign w:val="center"/>
          </w:tcPr>
          <w:p w:rsidR="007E2116" w:rsidRPr="00191FEB" w:rsidRDefault="007E2116" w:rsidP="000E54F0">
            <w:pPr>
              <w:jc w:val="center"/>
            </w:pPr>
            <w:r w:rsidRPr="00191FEB">
              <w:t>2</w:t>
            </w:r>
          </w:p>
        </w:tc>
      </w:tr>
      <w:tr w:rsidR="007E2116" w:rsidRPr="00191FEB" w:rsidTr="007E2116">
        <w:tc>
          <w:tcPr>
            <w:tcW w:w="686" w:type="dxa"/>
            <w:tcBorders>
              <w:bottom w:val="single" w:sz="4" w:space="0" w:color="auto"/>
            </w:tcBorders>
          </w:tcPr>
          <w:p w:rsidR="007E2116" w:rsidRPr="00191FEB" w:rsidRDefault="007E2116" w:rsidP="000E54F0">
            <w:pPr>
              <w:pStyle w:val="ListParagraph"/>
              <w:numPr>
                <w:ilvl w:val="0"/>
                <w:numId w:val="1"/>
              </w:numPr>
              <w:tabs>
                <w:tab w:val="left" w:pos="360"/>
              </w:tabs>
              <w:autoSpaceDE w:val="0"/>
              <w:autoSpaceDN w:val="0"/>
              <w:adjustRightInd w:val="0"/>
              <w:spacing w:after="0" w:line="240" w:lineRule="auto"/>
              <w:ind w:left="459"/>
              <w:jc w:val="both"/>
              <w:rPr>
                <w:rFonts w:ascii="Times New Roman" w:hAnsi="Times New Roman"/>
                <w:sz w:val="20"/>
                <w:szCs w:val="20"/>
              </w:rPr>
            </w:pPr>
          </w:p>
        </w:tc>
        <w:tc>
          <w:tcPr>
            <w:tcW w:w="2183" w:type="dxa"/>
            <w:tcBorders>
              <w:bottom w:val="single" w:sz="4" w:space="0" w:color="auto"/>
            </w:tcBorders>
          </w:tcPr>
          <w:p w:rsidR="007E2116" w:rsidRPr="00191FEB" w:rsidRDefault="007E2116" w:rsidP="000E54F0">
            <w:pPr>
              <w:autoSpaceDE w:val="0"/>
              <w:autoSpaceDN w:val="0"/>
              <w:adjustRightInd w:val="0"/>
              <w:jc w:val="both"/>
            </w:pPr>
            <w:r w:rsidRPr="00191FEB">
              <w:t>Responsible</w:t>
            </w:r>
          </w:p>
        </w:tc>
        <w:tc>
          <w:tcPr>
            <w:tcW w:w="965" w:type="dxa"/>
            <w:tcBorders>
              <w:bottom w:val="single" w:sz="4" w:space="0" w:color="auto"/>
            </w:tcBorders>
            <w:vAlign w:val="center"/>
          </w:tcPr>
          <w:p w:rsidR="007E2116" w:rsidRPr="00191FEB" w:rsidRDefault="007E2116" w:rsidP="000E54F0">
            <w:pPr>
              <w:jc w:val="center"/>
            </w:pPr>
            <w:r w:rsidRPr="00191FEB">
              <w:t>-</w:t>
            </w:r>
          </w:p>
        </w:tc>
        <w:tc>
          <w:tcPr>
            <w:tcW w:w="1549" w:type="dxa"/>
            <w:tcBorders>
              <w:bottom w:val="single" w:sz="4" w:space="0" w:color="auto"/>
            </w:tcBorders>
            <w:vAlign w:val="center"/>
          </w:tcPr>
          <w:p w:rsidR="007E2116" w:rsidRPr="00191FEB" w:rsidRDefault="007E2116" w:rsidP="000E54F0">
            <w:pPr>
              <w:jc w:val="center"/>
            </w:pPr>
            <w:r w:rsidRPr="00191FEB">
              <w:t>1</w:t>
            </w:r>
          </w:p>
        </w:tc>
        <w:tc>
          <w:tcPr>
            <w:tcW w:w="1485" w:type="dxa"/>
            <w:tcBorders>
              <w:bottom w:val="single" w:sz="4" w:space="0" w:color="auto"/>
            </w:tcBorders>
            <w:vAlign w:val="center"/>
          </w:tcPr>
          <w:p w:rsidR="007E2116" w:rsidRPr="00191FEB" w:rsidRDefault="007E2116" w:rsidP="000E54F0">
            <w:pPr>
              <w:jc w:val="center"/>
            </w:pPr>
            <w:r w:rsidRPr="00191FEB">
              <w:t>1</w:t>
            </w:r>
          </w:p>
        </w:tc>
        <w:tc>
          <w:tcPr>
            <w:tcW w:w="931" w:type="dxa"/>
            <w:tcBorders>
              <w:bottom w:val="single" w:sz="4" w:space="0" w:color="auto"/>
            </w:tcBorders>
            <w:vAlign w:val="center"/>
          </w:tcPr>
          <w:p w:rsidR="007E2116" w:rsidRPr="00191FEB" w:rsidRDefault="007E2116" w:rsidP="000E54F0">
            <w:pPr>
              <w:jc w:val="center"/>
            </w:pPr>
            <w:r w:rsidRPr="00191FEB">
              <w:t>1</w:t>
            </w:r>
          </w:p>
        </w:tc>
        <w:tc>
          <w:tcPr>
            <w:tcW w:w="1217" w:type="dxa"/>
            <w:tcBorders>
              <w:bottom w:val="single" w:sz="4" w:space="0" w:color="auto"/>
            </w:tcBorders>
            <w:vAlign w:val="center"/>
          </w:tcPr>
          <w:p w:rsidR="007E2116" w:rsidRPr="00191FEB" w:rsidRDefault="007E2116" w:rsidP="000E54F0">
            <w:pPr>
              <w:jc w:val="center"/>
            </w:pPr>
            <w:r w:rsidRPr="00191FEB">
              <w:t>3</w:t>
            </w:r>
          </w:p>
        </w:tc>
      </w:tr>
      <w:tr w:rsidR="007E2116" w:rsidRPr="00191FEB" w:rsidTr="007E2116">
        <w:tc>
          <w:tcPr>
            <w:tcW w:w="2869" w:type="dxa"/>
            <w:gridSpan w:val="2"/>
            <w:tcBorders>
              <w:top w:val="single" w:sz="4" w:space="0" w:color="auto"/>
            </w:tcBorders>
          </w:tcPr>
          <w:p w:rsidR="007E2116" w:rsidRPr="00191FEB" w:rsidRDefault="007E2116" w:rsidP="000E54F0">
            <w:pPr>
              <w:autoSpaceDE w:val="0"/>
              <w:autoSpaceDN w:val="0"/>
              <w:adjustRightInd w:val="0"/>
              <w:jc w:val="center"/>
            </w:pPr>
            <w:r w:rsidRPr="00191FEB">
              <w:t>total</w:t>
            </w:r>
          </w:p>
        </w:tc>
        <w:tc>
          <w:tcPr>
            <w:tcW w:w="965" w:type="dxa"/>
            <w:tcBorders>
              <w:top w:val="single" w:sz="4" w:space="0" w:color="auto"/>
            </w:tcBorders>
            <w:vAlign w:val="center"/>
          </w:tcPr>
          <w:p w:rsidR="007E2116" w:rsidRPr="00191FEB" w:rsidRDefault="007E2116" w:rsidP="000E54F0">
            <w:pPr>
              <w:jc w:val="center"/>
            </w:pPr>
            <w:r w:rsidRPr="00191FEB">
              <w:t>26</w:t>
            </w:r>
          </w:p>
        </w:tc>
        <w:tc>
          <w:tcPr>
            <w:tcW w:w="1549" w:type="dxa"/>
            <w:tcBorders>
              <w:top w:val="single" w:sz="4" w:space="0" w:color="auto"/>
            </w:tcBorders>
            <w:vAlign w:val="center"/>
          </w:tcPr>
          <w:p w:rsidR="007E2116" w:rsidRPr="00191FEB" w:rsidRDefault="007E2116" w:rsidP="000E54F0">
            <w:pPr>
              <w:jc w:val="center"/>
            </w:pPr>
            <w:r w:rsidRPr="00191FEB">
              <w:t>42</w:t>
            </w:r>
          </w:p>
        </w:tc>
        <w:tc>
          <w:tcPr>
            <w:tcW w:w="1485" w:type="dxa"/>
            <w:tcBorders>
              <w:top w:val="single" w:sz="4" w:space="0" w:color="auto"/>
            </w:tcBorders>
            <w:vAlign w:val="center"/>
          </w:tcPr>
          <w:p w:rsidR="007E2116" w:rsidRPr="00191FEB" w:rsidRDefault="007E2116" w:rsidP="000E54F0">
            <w:pPr>
              <w:jc w:val="center"/>
            </w:pPr>
            <w:r w:rsidRPr="00191FEB">
              <w:t>16</w:t>
            </w:r>
          </w:p>
        </w:tc>
        <w:tc>
          <w:tcPr>
            <w:tcW w:w="931" w:type="dxa"/>
            <w:tcBorders>
              <w:top w:val="single" w:sz="4" w:space="0" w:color="auto"/>
            </w:tcBorders>
            <w:vAlign w:val="center"/>
          </w:tcPr>
          <w:p w:rsidR="007E2116" w:rsidRPr="00191FEB" w:rsidRDefault="007E2116" w:rsidP="000E54F0">
            <w:pPr>
              <w:jc w:val="center"/>
            </w:pPr>
            <w:r w:rsidRPr="00191FEB">
              <w:t>18</w:t>
            </w:r>
          </w:p>
        </w:tc>
        <w:tc>
          <w:tcPr>
            <w:tcW w:w="1217" w:type="dxa"/>
            <w:tcBorders>
              <w:top w:val="single" w:sz="4" w:space="0" w:color="auto"/>
            </w:tcBorders>
            <w:vAlign w:val="center"/>
          </w:tcPr>
          <w:p w:rsidR="007E2116" w:rsidRPr="00191FEB" w:rsidRDefault="007E2116" w:rsidP="000E54F0">
            <w:pPr>
              <w:jc w:val="center"/>
            </w:pPr>
            <w:r w:rsidRPr="00191FEB">
              <w:t>102</w:t>
            </w:r>
          </w:p>
        </w:tc>
      </w:tr>
    </w:tbl>
    <w:p w:rsidR="007E2116" w:rsidRPr="00191FEB" w:rsidRDefault="007E2116" w:rsidP="000E54F0">
      <w:pPr>
        <w:ind w:firstLine="720"/>
        <w:jc w:val="both"/>
        <w:rPr>
          <w:sz w:val="24"/>
          <w:szCs w:val="24"/>
          <w:highlight w:val="yellow"/>
        </w:rPr>
      </w:pPr>
    </w:p>
    <w:p w:rsidR="00280581" w:rsidRPr="009D1493" w:rsidRDefault="007E2116" w:rsidP="000E54F0">
      <w:pPr>
        <w:ind w:firstLine="567"/>
        <w:jc w:val="both"/>
        <w:rPr>
          <w:color w:val="auto"/>
          <w:sz w:val="24"/>
          <w:szCs w:val="24"/>
          <w:lang w:val="id-ID"/>
        </w:rPr>
      </w:pPr>
      <w:r w:rsidRPr="009D1493">
        <w:rPr>
          <w:color w:val="auto"/>
          <w:sz w:val="24"/>
          <w:szCs w:val="24"/>
        </w:rPr>
        <w:t>Based on the data in the table, it can be seen that not all values ​​of cultural education and national character appear in Indonesian history textbooks on Islamic history material. The uneven distribution of the value of cultural education and national character depends on the content of the material presented per section.</w:t>
      </w:r>
    </w:p>
    <w:p w:rsidR="007E2116" w:rsidRPr="009D1493" w:rsidRDefault="00280581" w:rsidP="000E54F0">
      <w:pPr>
        <w:ind w:firstLine="567"/>
        <w:jc w:val="both"/>
        <w:rPr>
          <w:color w:val="auto"/>
          <w:sz w:val="24"/>
          <w:szCs w:val="24"/>
          <w:lang w:val="id-ID"/>
        </w:rPr>
      </w:pPr>
      <w:r w:rsidRPr="009D1493">
        <w:rPr>
          <w:color w:val="auto"/>
          <w:sz w:val="24"/>
          <w:szCs w:val="24"/>
          <w:lang w:val="id-ID"/>
        </w:rPr>
        <w:t>Presentation of material content in the form of events, stories, or tragedies lacks vocabulary and grammar which implies all the values ​​of cultural education and national character. In addition, the absence of some values ​​of cultural education and national character can be caused by writers who only describe data and facts so they do not insert events, stories, or tragedies that imply character content. Even though the narrative with character content is very important to be written to be a medium for indirect values ​​and moral cultivation. In addition, through these narratives the teacher can elaborate historical material so that it is not dry and cognitive. In detail the characters contained in the textbook are presented in Figure 1.</w:t>
      </w:r>
    </w:p>
    <w:p w:rsidR="007E2116" w:rsidRPr="00191FEB" w:rsidRDefault="007E2116" w:rsidP="000E54F0">
      <w:pPr>
        <w:jc w:val="both"/>
        <w:rPr>
          <w:sz w:val="24"/>
          <w:szCs w:val="24"/>
        </w:rPr>
      </w:pPr>
    </w:p>
    <w:p w:rsidR="007E2116" w:rsidRPr="00191FEB" w:rsidRDefault="00732AA8" w:rsidP="000E54F0">
      <w:pPr>
        <w:jc w:val="center"/>
        <w:rPr>
          <w:sz w:val="24"/>
          <w:szCs w:val="24"/>
        </w:rPr>
      </w:pPr>
      <w:r>
        <w:rPr>
          <w:noProof/>
          <w:sz w:val="24"/>
          <w:szCs w:val="24"/>
          <w:lang w:val="en-US" w:eastAsia="en-US"/>
        </w:rPr>
        <w:lastRenderedPageBreak/>
        <w:drawing>
          <wp:inline distT="0" distB="0" distL="0" distR="0">
            <wp:extent cx="4457700" cy="4019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E2116" w:rsidRDefault="007E2116" w:rsidP="000E54F0">
      <w:pPr>
        <w:ind w:left="567" w:right="566"/>
        <w:jc w:val="center"/>
        <w:rPr>
          <w:szCs w:val="24"/>
          <w:lang w:val="id-ID"/>
        </w:rPr>
      </w:pPr>
      <w:r w:rsidRPr="00732AA8">
        <w:rPr>
          <w:b/>
          <w:szCs w:val="24"/>
        </w:rPr>
        <w:t xml:space="preserve">Figure 1. </w:t>
      </w:r>
      <w:r w:rsidRPr="00732AA8">
        <w:rPr>
          <w:szCs w:val="24"/>
        </w:rPr>
        <w:t>Dissemination of the Values ​​of Cultural Education and Nation Character in Every Indonesian History Textbook on Islamic History Materials</w:t>
      </w:r>
    </w:p>
    <w:p w:rsidR="007E2116" w:rsidRPr="00DD1406" w:rsidRDefault="00DD1406" w:rsidP="000E54F0">
      <w:pPr>
        <w:jc w:val="both"/>
        <w:rPr>
          <w:b/>
          <w:sz w:val="24"/>
          <w:szCs w:val="24"/>
          <w:highlight w:val="yellow"/>
        </w:rPr>
      </w:pPr>
      <w:r w:rsidRPr="00B61D86">
        <w:rPr>
          <w:sz w:val="24"/>
          <w:szCs w:val="24"/>
          <w:lang w:val="id-ID"/>
        </w:rPr>
        <w:t xml:space="preserve"> </w:t>
      </w:r>
    </w:p>
    <w:p w:rsidR="007E2116" w:rsidRPr="00191FEB" w:rsidRDefault="007E2116" w:rsidP="009D1493">
      <w:pPr>
        <w:pStyle w:val="ListParagraph"/>
        <w:spacing w:after="0" w:line="240" w:lineRule="auto"/>
        <w:ind w:left="0" w:firstLine="567"/>
        <w:jc w:val="both"/>
        <w:rPr>
          <w:rFonts w:ascii="Times New Roman" w:hAnsi="Times New Roman"/>
          <w:sz w:val="24"/>
          <w:szCs w:val="24"/>
        </w:rPr>
      </w:pPr>
      <w:r w:rsidRPr="00AF11D9">
        <w:rPr>
          <w:rFonts w:ascii="Times New Roman" w:hAnsi="Times New Roman"/>
          <w:sz w:val="24"/>
          <w:szCs w:val="24"/>
        </w:rPr>
        <w:t>Based on the data analysis results of the Roger Fowler et al model presented in Figure 1, it appears that only two values ​​of character education that appear in each of the high school Indonesian history textbooks on Islamic history material are the spirit of nationality and friendly / communicative. The national spirit discourse is very dominant in writing textbooks that are useful for the formation of national and state character. The spirit of nationalism that boils down to nationalism is a way of thinking, behaving, and acting that shows loyalty, care and high respect for the language, physical, social, cultural, economic, and political environment of the nation, and places the interests of the nation and state above self-interest and his group</w:t>
      </w:r>
      <w:r w:rsidR="00DA6031">
        <w:rPr>
          <w:rFonts w:ascii="Times New Roman" w:hAnsi="Times New Roman"/>
          <w:sz w:val="24"/>
          <w:szCs w:val="24"/>
          <w:lang w:eastAsia="id-ID"/>
        </w:rPr>
        <w:fldChar w:fldCharType="begin" w:fldLock="1"/>
      </w:r>
      <w:r w:rsidR="001836E4">
        <w:rPr>
          <w:rFonts w:ascii="Times New Roman" w:hAnsi="Times New Roman"/>
          <w:sz w:val="24"/>
          <w:szCs w:val="24"/>
          <w:lang w:eastAsia="id-ID"/>
        </w:rPr>
        <w:instrText>ADDIN CSL_CITATION {"citationItems":[{"id":"ITEM-1","itemData":{"DOI":"10.1046/j.1473-6861.2002.00012.x","ISSN":"1473-6853","abstract":"Definisi Program pendidikan di sekolah untuk memperkuat karakter siswa melalui harmonisasi olah hati, olah rasa, olah pikir, dan olah raga dengan dukungan pelibatan publik dan kerja sama antara sekolah, keluarga, dan masyarakat yang merupakan bagian dari Gerakan Nasional Revolusi Mental (GNRM)","author":[{"dropping-particle":"","family":"Kemendikbud","given":"","non-dropping-particle":"","parse-names":false,"suffix":""}],"container-title":"Kemendikbud","id":"ITEM-1","issued":{"date-parts":[["2017"]]},"page":"58","title":"Konsep dan Pedoman Penguatan Pendidikan Karakter","type":"article-journal"},"uris":["http://www.mendeley.com/documents/?uuid=2788bfb7-c8be-413d-a74d-8ecc078d04ed"]}],"mendeley":{"formattedCitation":"[21]","plainTextFormattedCitation":"[21]","previouslyFormattedCitation":"[20]"},"properties":{"noteIndex":0},"schema":"https://github.com/citation-style-language/schema/raw/master/csl-citation.json"}</w:instrText>
      </w:r>
      <w:r w:rsidR="00DA6031">
        <w:rPr>
          <w:rFonts w:ascii="Times New Roman" w:hAnsi="Times New Roman"/>
          <w:sz w:val="24"/>
          <w:szCs w:val="24"/>
          <w:lang w:eastAsia="id-ID"/>
        </w:rPr>
        <w:fldChar w:fldCharType="separate"/>
      </w:r>
      <w:r w:rsidR="001836E4" w:rsidRPr="001836E4">
        <w:rPr>
          <w:rFonts w:ascii="Times New Roman" w:hAnsi="Times New Roman"/>
          <w:noProof/>
          <w:sz w:val="24"/>
          <w:szCs w:val="24"/>
          <w:lang w:eastAsia="id-ID"/>
        </w:rPr>
        <w:t>[21]</w:t>
      </w:r>
      <w:r w:rsidR="00DA6031">
        <w:rPr>
          <w:rFonts w:ascii="Times New Roman" w:hAnsi="Times New Roman"/>
          <w:sz w:val="24"/>
          <w:szCs w:val="24"/>
          <w:lang w:eastAsia="id-ID"/>
        </w:rPr>
        <w:fldChar w:fldCharType="end"/>
      </w:r>
      <w:r w:rsidR="000C1BD4">
        <w:rPr>
          <w:rFonts w:ascii="Times New Roman" w:hAnsi="Times New Roman"/>
          <w:sz w:val="24"/>
          <w:szCs w:val="24"/>
          <w:lang w:eastAsia="id-ID"/>
        </w:rPr>
        <w:t>). This character becomes the most dominant and often appears in writing textbooks, especially in class XI both semester 1 and semester 2. This can be understood because based on the content of the material presented in Indonesian history textbooks related to the role of Muslims during the struggle of the Indonesian nation to obtain independence.</w:t>
      </w:r>
    </w:p>
    <w:p w:rsidR="007E2116" w:rsidRPr="005D5293" w:rsidRDefault="003737E1" w:rsidP="009D149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The spirit of nationality referred to in class X and XI semester 1 textbooks is associated with a feeling of unity and struggle when fighting against the occupation of the West. The sultans and the Muslims in the textbook were narrated to help one another carry out the resistance, the rebellion, and the war against the Western powers. The resistance was motivated by the suffering and misery of the people against Western policy. The emergence of ethical politics at the beginning of the 20th century in Indonesia became the starting point for the social change of the nation which is outlined in the textbook class XI semester 1 of the last chapter to class XII. During this national movement, a lot of vocabulary and grammar in sentences reflecting the character's content placed the interests of the nation and state above self and group </w:t>
      </w:r>
      <w:r w:rsidRPr="005D5293">
        <w:rPr>
          <w:rFonts w:ascii="Times New Roman" w:hAnsi="Times New Roman"/>
          <w:sz w:val="24"/>
          <w:szCs w:val="24"/>
        </w:rPr>
        <w:t>interests.</w:t>
      </w:r>
    </w:p>
    <w:p w:rsidR="002375F7" w:rsidRPr="002375F7" w:rsidRDefault="00620420" w:rsidP="009D1493">
      <w:pPr>
        <w:pStyle w:val="ListParagraph"/>
        <w:spacing w:after="0" w:line="240" w:lineRule="auto"/>
        <w:ind w:left="0" w:firstLine="567"/>
        <w:jc w:val="both"/>
        <w:rPr>
          <w:rFonts w:ascii="Times New Roman" w:hAnsi="Times New Roman"/>
          <w:sz w:val="24"/>
          <w:szCs w:val="24"/>
        </w:rPr>
      </w:pPr>
      <w:r w:rsidRPr="005D5293">
        <w:rPr>
          <w:rFonts w:ascii="Times New Roman" w:hAnsi="Times New Roman"/>
          <w:sz w:val="24"/>
          <w:szCs w:val="24"/>
          <w:lang w:val="en-US"/>
        </w:rPr>
        <w:t xml:space="preserve">The second </w:t>
      </w:r>
      <w:r w:rsidR="005D5293">
        <w:rPr>
          <w:rFonts w:ascii="Times New Roman" w:hAnsi="Times New Roman"/>
          <w:sz w:val="24"/>
          <w:szCs w:val="24"/>
          <w:lang w:val="en-US"/>
        </w:rPr>
        <w:t>character</w:t>
      </w:r>
      <w:r w:rsidRPr="005D5293">
        <w:rPr>
          <w:rFonts w:ascii="Times New Roman" w:hAnsi="Times New Roman"/>
          <w:sz w:val="24"/>
          <w:szCs w:val="24"/>
          <w:lang w:val="en-US"/>
        </w:rPr>
        <w:t xml:space="preserve"> is</w:t>
      </w:r>
      <w:r w:rsidR="005D5293">
        <w:rPr>
          <w:rFonts w:ascii="Times New Roman" w:hAnsi="Times New Roman"/>
          <w:sz w:val="24"/>
          <w:szCs w:val="24"/>
          <w:lang w:val="en-US"/>
        </w:rPr>
        <w:t xml:space="preserve"> </w:t>
      </w:r>
      <w:r w:rsidR="005D5293">
        <w:rPr>
          <w:rFonts w:ascii="Times New Roman" w:hAnsi="Times New Roman"/>
          <w:sz w:val="24"/>
          <w:szCs w:val="24"/>
        </w:rPr>
        <w:t>friendly/</w:t>
      </w:r>
      <w:r w:rsidR="00855EFB">
        <w:rPr>
          <w:rFonts w:ascii="Times New Roman" w:hAnsi="Times New Roman"/>
          <w:sz w:val="24"/>
          <w:szCs w:val="24"/>
        </w:rPr>
        <w:t>communicative. Based on the formulation of the Ministry of Nat</w:t>
      </w:r>
      <w:r w:rsidR="005D5293">
        <w:rPr>
          <w:rFonts w:ascii="Times New Roman" w:hAnsi="Times New Roman"/>
          <w:sz w:val="24"/>
          <w:szCs w:val="24"/>
        </w:rPr>
        <w:t>ional Education (2010) friendly/</w:t>
      </w:r>
      <w:r w:rsidR="00855EFB">
        <w:rPr>
          <w:rFonts w:ascii="Times New Roman" w:hAnsi="Times New Roman"/>
          <w:sz w:val="24"/>
          <w:szCs w:val="24"/>
        </w:rPr>
        <w:t xml:space="preserve">communicative is an action that shows a sense </w:t>
      </w:r>
      <w:r w:rsidR="00855EFB">
        <w:rPr>
          <w:rFonts w:ascii="Times New Roman" w:hAnsi="Times New Roman"/>
          <w:sz w:val="24"/>
          <w:szCs w:val="24"/>
        </w:rPr>
        <w:lastRenderedPageBreak/>
        <w:t>of pleasure in talking, socializing, and cooperating with others. The vocabulary and grammar in many sentences reflect this value. Muslims in every textbook are described as having friendly / communicative character values. This is evident in his attitude and behavior in all aspects of life. From the economic point of view, the sultans and their people easily cooperated with traders who came and even sent goods abroad to develop the economy of their region. From a political perspective, the sultans and Islamic fighters cooperated with the people or even allied with foreign nations to fight against the arbitrary authority of the West at that time.</w:t>
      </w:r>
    </w:p>
    <w:p w:rsidR="002D56F2" w:rsidRPr="00B71AFC" w:rsidRDefault="00855EFB" w:rsidP="009D1493">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Friendly / communicative can be associated with the value of mutual cooperation. This value reflects action and context that have the same meaning as cooperation and help. This value has been the culture of people in the world since prehistoric times until now. This shows that no human being can survive alone, so that the spread of friendly / communicative values ​​is evenly distributed in each textbook.</w:t>
      </w:r>
    </w:p>
    <w:p w:rsidR="002B7A37" w:rsidRPr="009146F3" w:rsidRDefault="002B7A37" w:rsidP="009D1493">
      <w:pPr>
        <w:pStyle w:val="ListParagraph"/>
        <w:spacing w:after="0" w:line="240" w:lineRule="auto"/>
        <w:ind w:left="0" w:firstLine="567"/>
        <w:jc w:val="both"/>
        <w:rPr>
          <w:rFonts w:ascii="Times New Roman" w:hAnsi="Times New Roman"/>
          <w:sz w:val="24"/>
          <w:szCs w:val="24"/>
        </w:rPr>
      </w:pPr>
    </w:p>
    <w:p w:rsidR="007E2116" w:rsidRDefault="007E2116" w:rsidP="000E54F0">
      <w:pPr>
        <w:rPr>
          <w:b/>
          <w:sz w:val="24"/>
          <w:szCs w:val="24"/>
        </w:rPr>
      </w:pPr>
      <w:r w:rsidRPr="00191FEB">
        <w:rPr>
          <w:b/>
          <w:sz w:val="24"/>
          <w:szCs w:val="24"/>
        </w:rPr>
        <w:t>Evaluation of the Suitability of Content and Content of Character with Current Conditions (Lutfiah)</w:t>
      </w:r>
    </w:p>
    <w:p w:rsidR="00D40469" w:rsidRDefault="00D40469" w:rsidP="00474162">
      <w:pPr>
        <w:ind w:firstLine="567"/>
        <w:jc w:val="both"/>
        <w:rPr>
          <w:sz w:val="24"/>
          <w:szCs w:val="24"/>
        </w:rPr>
      </w:pPr>
      <w:r>
        <w:rPr>
          <w:sz w:val="24"/>
          <w:szCs w:val="24"/>
        </w:rPr>
        <w:t>Indonesian history textbooks that are used as learning resources in the 2013 curriculum are published by the Ministry of Education and Culture in the form of e-books and printed books. The material contained in it is not much different from the books published earlier that contain about the history of Indonesia from the pre-litera to reformation. In addition there are also specialization history books issued by several publishers such as Mediataman and Yrama Widya. The textbook was developed in accordance with the applicable curriculum. Although there is more space in the curriculum history of specialization, not much new content appears in the material presentation.</w:t>
      </w:r>
    </w:p>
    <w:p w:rsidR="00474162" w:rsidRDefault="00474162" w:rsidP="00474162">
      <w:pPr>
        <w:ind w:firstLine="567"/>
        <w:jc w:val="both"/>
        <w:rPr>
          <w:sz w:val="24"/>
          <w:szCs w:val="24"/>
        </w:rPr>
      </w:pPr>
      <w:r>
        <w:rPr>
          <w:sz w:val="24"/>
          <w:szCs w:val="24"/>
        </w:rPr>
        <w:t>The material in history textbooks tends to be rigid and contains facts which are repetition of historical material that has been received at the previous level. This is the background of the opinion that textbooks only provide a means for low-level thinking. Whereas at the level of secondary education for learning history, it has to reach a critical stage and high order thinking so students do not only understand an event from one perspective. Learning history should be able to enrich student understanding by providing a window into the dilemmas, choices and beliefs of people in the past [20]. This is expected to be able to foster critical thinking skills where these skills can be applied in everyday life. One way to achieve this goal is to include new features in textbooks containing current events as a basis for past explanations or vice versa. However, most textbooks do not use present conditions as a basis for explanations of the past [21].</w:t>
      </w:r>
    </w:p>
    <w:p w:rsidR="009127FD" w:rsidRDefault="00D62266" w:rsidP="00474162">
      <w:pPr>
        <w:ind w:firstLine="567"/>
        <w:jc w:val="both"/>
        <w:rPr>
          <w:sz w:val="24"/>
          <w:szCs w:val="24"/>
        </w:rPr>
      </w:pPr>
      <w:r>
        <w:rPr>
          <w:sz w:val="24"/>
          <w:szCs w:val="24"/>
        </w:rPr>
        <w:t>This condition also occurs in Indonesian history textbooks whose focus revolves around the facts of the past without giving students access to understand their relevance to the present. In addition, the textbook also does not present material based on a multidimensional and interdisciplinary approach that helps students to understand historical events holistically. The revision of the presentation of historical material, including Islamic history, is considered important so that students do not feel stuttering in the face of phenomena that are actually repeated patterns in history such as the existence of peaceful penetration through acculturation and assimilation as well as penetration of violence. Learning the reality of history in real terms at the upper secondary level will train them to determine attitudes towards an event,</w:t>
      </w:r>
    </w:p>
    <w:p w:rsidR="00FF09E5" w:rsidRDefault="008E0DCB" w:rsidP="00FF09E5">
      <w:pPr>
        <w:ind w:firstLine="567"/>
        <w:jc w:val="both"/>
        <w:rPr>
          <w:sz w:val="24"/>
          <w:szCs w:val="24"/>
        </w:rPr>
      </w:pPr>
      <w:r>
        <w:rPr>
          <w:sz w:val="24"/>
          <w:szCs w:val="24"/>
        </w:rPr>
        <w:t xml:space="preserve">In addition to material content / content, a revision that needs to be done in Islamic history textbooks in Indonesia is the addition of character content. This is important because based on the results of research that the integration of educational values ​​in textbooks has an impact on student character [24]. The integration of character education in textbooks must be done seriously because the role of textbooks is still very calculated even at the university level because it is considered capable of forming students' views holistically [4]. Cultivation of character in the world of education is considered very important because education must be </w:t>
      </w:r>
      <w:r>
        <w:rPr>
          <w:sz w:val="24"/>
          <w:szCs w:val="24"/>
        </w:rPr>
        <w:lastRenderedPageBreak/>
        <w:t>able to guarantee the sustainability of peace, contribute to fostering a love for peace, foster and increase tolerance, mutual respect, and reject the spread of negative stereotypes</w:t>
      </w:r>
      <w:r w:rsidR="00FF09E5">
        <w:rPr>
          <w:sz w:val="24"/>
          <w:szCs w:val="24"/>
        </w:rPr>
        <w:fldChar w:fldCharType="begin" w:fldLock="1"/>
      </w:r>
      <w:r w:rsidR="00FF09E5">
        <w:rPr>
          <w:sz w:val="24"/>
          <w:szCs w:val="24"/>
        </w:rPr>
        <w:instrText>ADDIN CSL_CITATION {"citationItems":[{"id":"ITEM-1","itemData":{"DOI":"10.1177/0002716207313087","ISSN":"00027162","abstract":"International school textbook revision and research became a professional academic activity after the First World War. It broadened its scope and methodological approaches considerably after the collapse of the bipolar world. Today, a number of different agencies, such as international governmental institutions, NGOs, and academic as well as pedagogical institutions, are involved in projects on the revision of history teaching in postconflict societies. This article examines the pros and cons of different project designs, focusing on the sometimes contradictory aims projects are expected to achieve and on the interplay between the various agencies. Examples highlighting the reconstruction and reconciliation process are taken from Bosnia and Herzegovina, Israel-Palestine, and Rwanda and South Africa.","author":[{"dropping-particle":"","family":"Pingel","given":"Falk","non-dropping-particle":"","parse-names":false,"suffix":""}],"container-title":"Annals of the American Academy of Political and Social Science","id":"ITEM-1","issue":"1","issued":{"date-parts":[["2008"]]},"page":"181-198","title":"Can truth be negotiated? History textbook revision as a means to reconciliation","type":"article-journal","volume":"617"},"uris":["http://www.mendeley.com/documents/?uuid=e27a1158-6607-468c-ab57-affb03e0ed59"]}],"mendeley":{"formattedCitation":"[6]","plainTextFormattedCitation":"[6]","previouslyFormattedCitation":"[6]"},"properties":{"noteIndex":0},"schema":"https://github.com/citation-style-language/schema/raw/master/csl-citation.json"}</w:instrText>
      </w:r>
      <w:r w:rsidR="00FF09E5">
        <w:rPr>
          <w:sz w:val="24"/>
          <w:szCs w:val="24"/>
        </w:rPr>
        <w:fldChar w:fldCharType="separate"/>
      </w:r>
      <w:r w:rsidR="00FF09E5" w:rsidRPr="003E56F2">
        <w:rPr>
          <w:noProof/>
          <w:sz w:val="24"/>
          <w:szCs w:val="24"/>
        </w:rPr>
        <w:t>[6]</w:t>
      </w:r>
      <w:r w:rsidR="00FF09E5">
        <w:rPr>
          <w:sz w:val="24"/>
          <w:szCs w:val="24"/>
        </w:rPr>
        <w:fldChar w:fldCharType="end"/>
      </w:r>
      <w:r w:rsidR="00FF09E5">
        <w:rPr>
          <w:sz w:val="24"/>
          <w:szCs w:val="24"/>
        </w:rPr>
        <w:fldChar w:fldCharType="begin" w:fldLock="1"/>
      </w:r>
      <w:r w:rsidR="001836E4">
        <w:rPr>
          <w:sz w:val="24"/>
          <w:szCs w:val="24"/>
        </w:rPr>
        <w:instrText>ADDIN CSL_CITATION {"citationItems":[{"id":"ITEM-1","itemData":{"DOI":"10.1596/978-0-8213-6465-9","ISBN":"0821364650","author":[{"dropping-particle":"","family":"Greaney","given":"Vincent","non-dropping-particle":"","parse-names":false,"suffix":""}],"container-title":"Promoting social cohesion through education: Case studies and tools for using textbooks and curricula","id":"ITEM-1","issued":{"date-parts":[["2006"]]},"number-of-pages":"47-70","title":"Textbooks, respect for diversity, and social cohesion","type":"book"},"uris":["http://www.mendeley.com/documents/?uuid=29d55694-7089-47bf-b983-be16fd091b34"]}],"mendeley":{"formattedCitation":"[22]","plainTextFormattedCitation":"[22]","previouslyFormattedCitation":"[21]"},"properties":{"noteIndex":0},"schema":"https://github.com/citation-style-language/schema/raw/master/csl-citation.json"}</w:instrText>
      </w:r>
      <w:r w:rsidR="00FF09E5">
        <w:rPr>
          <w:sz w:val="24"/>
          <w:szCs w:val="24"/>
        </w:rPr>
        <w:fldChar w:fldCharType="separate"/>
      </w:r>
      <w:r w:rsidR="001836E4" w:rsidRPr="001836E4">
        <w:rPr>
          <w:noProof/>
          <w:sz w:val="24"/>
          <w:szCs w:val="24"/>
        </w:rPr>
        <w:t>[22]</w:t>
      </w:r>
      <w:r w:rsidR="00FF09E5">
        <w:rPr>
          <w:sz w:val="24"/>
          <w:szCs w:val="24"/>
        </w:rPr>
        <w:fldChar w:fldCharType="end"/>
      </w:r>
      <w:r w:rsidR="00FF09E5">
        <w:rPr>
          <w:sz w:val="24"/>
          <w:szCs w:val="24"/>
        </w:rPr>
        <w:fldChar w:fldCharType="begin" w:fldLock="1"/>
      </w:r>
      <w:r w:rsidR="001836E4">
        <w:rPr>
          <w:sz w:val="24"/>
          <w:szCs w:val="24"/>
        </w:rPr>
        <w:instrText>ADDIN CSL_CITATION {"citationItems":[{"id":"ITEM-1","itemData":{"author":[{"dropping-particle":"","family":"Riley","given":"Michael (Ed)","non-dropping-particle":"","parse-names":false,"suffix":""}],"id":"ITEM-1","issued":{"date-parts":[["0"]]},"title":"Guidebook for History Textbooks Authors","type":"book"},"uris":["http://www.mendeley.com/documents/?uuid=5857f32c-c3b4-4fc1-8525-9d5c59785d8b"]}],"mendeley":{"formattedCitation":"[23]","plainTextFormattedCitation":"[23]","previouslyFormattedCitation":"[22]"},"properties":{"noteIndex":0},"schema":"https://github.com/citation-style-language/schema/raw/master/csl-citation.json"}</w:instrText>
      </w:r>
      <w:r w:rsidR="00FF09E5">
        <w:rPr>
          <w:sz w:val="24"/>
          <w:szCs w:val="24"/>
        </w:rPr>
        <w:fldChar w:fldCharType="separate"/>
      </w:r>
      <w:r w:rsidR="001836E4" w:rsidRPr="001836E4">
        <w:rPr>
          <w:noProof/>
          <w:sz w:val="24"/>
          <w:szCs w:val="24"/>
        </w:rPr>
        <w:t>[23]</w:t>
      </w:r>
      <w:r w:rsidR="00FF09E5">
        <w:rPr>
          <w:sz w:val="24"/>
          <w:szCs w:val="24"/>
        </w:rPr>
        <w:fldChar w:fldCharType="end"/>
      </w:r>
      <w:r w:rsidR="00FF09E5">
        <w:rPr>
          <w:sz w:val="24"/>
          <w:szCs w:val="24"/>
        </w:rPr>
        <w:t xml:space="preserve">. </w:t>
      </w:r>
    </w:p>
    <w:p w:rsidR="00967C78" w:rsidRDefault="00723854" w:rsidP="00967C78">
      <w:pPr>
        <w:ind w:firstLine="567"/>
        <w:jc w:val="both"/>
        <w:rPr>
          <w:sz w:val="24"/>
          <w:szCs w:val="24"/>
        </w:rPr>
      </w:pPr>
      <w:r>
        <w:rPr>
          <w:sz w:val="24"/>
          <w:szCs w:val="24"/>
        </w:rPr>
        <w:t>Based on the previous discussion found evidence that the contents of the textbook history of Islamic History in Indonesia mostly focus on nationalism and friendly / communicative. While other values ​​such as discipline, peace, reading, and caring for the environment do not get a place at all. Whereas the four contents of the character are expected to be able to change the perception of the younger generation about the face of Islam in the past so that they can determine their attitude in facing the swift flow of information related to the development of Islam today. The revision of character content must be appropriate in the context of the right situation to encourage a more complex understanding of "the other" because we live in a multicultural society.</w:t>
      </w:r>
    </w:p>
    <w:p w:rsidR="004F4B6C" w:rsidRDefault="0046249C" w:rsidP="00967C78">
      <w:pPr>
        <w:ind w:firstLine="567"/>
        <w:jc w:val="both"/>
        <w:rPr>
          <w:sz w:val="24"/>
          <w:szCs w:val="24"/>
        </w:rPr>
      </w:pPr>
      <w:r w:rsidRPr="0046249C">
        <w:rPr>
          <w:sz w:val="24"/>
          <w:szCs w:val="24"/>
        </w:rPr>
        <w:t>Discipline is an action that shows orderly and compliant behavior in various provisions and regulations (Ministry of National Education, 2010). This character content does not appear in the textbook at all, because the content of the material that is centered on the role of Muslims in history does not show this character. In fact, the success of the spread of Islam, the struggle against the invaders, and the increase in human resources both religious and academic, depends on the discipline of the narrators of the narrated history. Like the content of disciplined characters, in writing Indonesian history textbooks also does not bring up the content of peace-loving characters. This character is less explicitly reviewed in historical narratives in textbooks.</w:t>
      </w:r>
    </w:p>
    <w:p w:rsidR="0046249C" w:rsidRDefault="004F4B6C" w:rsidP="00FF09E5">
      <w:pPr>
        <w:ind w:firstLine="567"/>
        <w:jc w:val="both"/>
        <w:rPr>
          <w:sz w:val="24"/>
          <w:szCs w:val="24"/>
        </w:rPr>
      </w:pPr>
      <w:r>
        <w:rPr>
          <w:sz w:val="24"/>
          <w:szCs w:val="24"/>
        </w:rPr>
        <w:t>Another character that never appears is fond of reading and caring for the environment. Development of material that is still focused on political history causes students not to get stories about humanist figures who are not tired in seeking knowledge such as Sheikh Muhammad Nawawi al-Jawi al-Bantani, Ahmad Khatib as-Sambasi, Muhammad Mahfudz at-Tarmasi, or the story of how his militant Abdurahman Wahid in reading and seeking knowledge. The character of caring for the environment can be elaborated even further by displaying the reasons why religious leaders and Muslims are willing to fight for their homeland. Presentation of material from various perspectives will give a complete picture that the struggle against the invaders is not only about the struggle for hegemony but about how to create a safe and peaceful environment so as to create comfort in worship.</w:t>
      </w:r>
    </w:p>
    <w:p w:rsidR="007E2116" w:rsidRPr="00191FEB" w:rsidRDefault="00FF09E5" w:rsidP="00967C78">
      <w:pPr>
        <w:ind w:firstLine="567"/>
        <w:jc w:val="both"/>
        <w:rPr>
          <w:b/>
          <w:sz w:val="24"/>
          <w:szCs w:val="24"/>
        </w:rPr>
      </w:pPr>
      <w:r>
        <w:rPr>
          <w:sz w:val="24"/>
          <w:szCs w:val="24"/>
        </w:rPr>
        <w:t>Other major work that needs to be done in revising textbooks is not only about material content and correction of factual errors and characters but also must explore the links between socio-historical, ideological and geo-political influences [2]. In addition, the integration of 21st century characters, namely mindfulness, curiosity, courage, resilience, ethics, and leadership</w:t>
      </w:r>
      <w:r>
        <w:rPr>
          <w:sz w:val="24"/>
          <w:szCs w:val="24"/>
        </w:rPr>
        <w:fldChar w:fldCharType="begin" w:fldLock="1"/>
      </w:r>
      <w:r w:rsidR="001836E4">
        <w:rPr>
          <w:sz w:val="24"/>
          <w:szCs w:val="24"/>
        </w:rPr>
        <w:instrText>ADDIN CSL_CITATION {"citationItems":[{"id":"ITEM-1","itemData":{"abstract":"In the 21st century, humanity is facing severe dif6iculties at the societal, economic, and personal levels. Societally, we are struggling with greed manifested in 6inancial instability, climate change, and personal privacy invasions, and with intolerance manifested in religious fundamentalism, racial crises, and political absolutism. Economically, globalization and innovation are rapidly changing our paradigms of business. On a personal level we are struggling with 6inding ful6illing employment opportunities and achieving happiness. Technology’s exponential growth is rapidly compounding the problems via automation and offshoring, which are producing social disruptions. Educational progress is falling behind the curve of technological progress, as it did during the Industrial Revolution, resulting in social pain.","author":[{"dropping-particle":"","family":"Bialik","given":"Maya;","non-dropping-particle":"","parse-names":false,"suffix":""},{"dropping-particle":"","family":"Fadel","given":"Charles;","non-dropping-particle":"","parse-names":false,"suffix":""},{"dropping-particle":"","family":"Trilling","given":"Bernie;","non-dropping-particle":"","parse-names":false,"suffix":""},{"dropping-particle":"","family":"Nilsson","given":"Peter;","non-dropping-particle":"","parse-names":false,"suffix":""},{"dropping-particle":"","family":"Groff","given":"Jennifer","non-dropping-particle":"","parse-names":false,"suffix":""}],"id":"ITEM-1","issue":"May","issued":{"date-parts":[["2015"]]},"title":"21st Century Skills: What should students learn?","type":"article-journal"},"uris":["http://www.mendeley.com/documents/?uuid=c8a7a6de-701a-4885-a474-aeae634fea38"]}],"mendeley":{"formattedCitation":"[24]","plainTextFormattedCitation":"[24]","previouslyFormattedCitation":"[23]"},"properties":{"noteIndex":0},"schema":"https://github.com/citation-style-language/schema/raw/master/csl-citation.json"}</w:instrText>
      </w:r>
      <w:r>
        <w:rPr>
          <w:sz w:val="24"/>
          <w:szCs w:val="24"/>
        </w:rPr>
        <w:fldChar w:fldCharType="separate"/>
      </w:r>
      <w:r w:rsidR="001836E4" w:rsidRPr="001836E4">
        <w:rPr>
          <w:noProof/>
          <w:sz w:val="24"/>
          <w:szCs w:val="24"/>
        </w:rPr>
        <w:t>[24]</w:t>
      </w:r>
      <w:r>
        <w:rPr>
          <w:sz w:val="24"/>
          <w:szCs w:val="24"/>
        </w:rPr>
        <w:fldChar w:fldCharType="end"/>
      </w:r>
      <w:r>
        <w:rPr>
          <w:sz w:val="24"/>
          <w:szCs w:val="24"/>
        </w:rPr>
        <w:t>. This work certainly will not be completed in a short time, but must begin immediately given the tendency of the depletion of historical awareness about the socio-cultural process of the development of Islam in Indonesia to the end of the understanding of radicalism. This can be started from the smallest and easiest environment, each class. The 2013 curriculum has provided wide scope for history teachers to improvise learning according to their needs. Through this paper the researcher hopes that growing awareness about the need for revision of content and character content in textbooks will stimulate the reader to take innovative steps that are important for the success of the golden generation of 2045.</w:t>
      </w:r>
    </w:p>
    <w:p w:rsidR="007E2116" w:rsidRDefault="007E2116" w:rsidP="000E54F0">
      <w:pPr>
        <w:rPr>
          <w:b/>
          <w:sz w:val="24"/>
          <w:szCs w:val="24"/>
        </w:rPr>
      </w:pPr>
    </w:p>
    <w:p w:rsidR="007E2116" w:rsidRDefault="007E2116" w:rsidP="000E54F0">
      <w:pPr>
        <w:rPr>
          <w:b/>
          <w:sz w:val="24"/>
          <w:szCs w:val="24"/>
        </w:rPr>
      </w:pPr>
      <w:r w:rsidRPr="00191FEB">
        <w:rPr>
          <w:b/>
          <w:sz w:val="24"/>
          <w:szCs w:val="24"/>
        </w:rPr>
        <w:t>Conclusion</w:t>
      </w:r>
    </w:p>
    <w:p w:rsidR="00DA6031" w:rsidRPr="001836E4" w:rsidRDefault="001836E4" w:rsidP="00044BD6">
      <w:pPr>
        <w:ind w:firstLine="567"/>
        <w:jc w:val="both"/>
        <w:rPr>
          <w:sz w:val="24"/>
          <w:szCs w:val="24"/>
        </w:rPr>
      </w:pPr>
      <w:r>
        <w:rPr>
          <w:sz w:val="24"/>
          <w:szCs w:val="24"/>
        </w:rPr>
        <w:t xml:space="preserve">Based on the research that has been done, it can be concluded that the content content and discourse of character education in high school history textbooks on Islamic history material still needs to be revised. The material developed in the textbook is mostly examined from the perspective of political history. This is actually not in line with the development of historical science in Indonesia which has used an interdisciplinary and multidimensional approach in analyzing historical events. Descriptions of historical events from only one perspective have an impact on students' partial understanding and tend to train students to think </w:t>
      </w:r>
      <w:r>
        <w:rPr>
          <w:sz w:val="24"/>
          <w:szCs w:val="24"/>
        </w:rPr>
        <w:lastRenderedPageBreak/>
        <w:t>lower level. Even though at the high school level students must be introduced to critical thinking skills. In addition to revisions to the content, what needs to be done is to revise the character content because based on the results of the study it was found that the dominant character content is nationalism and communicative / friendly in the context of physical struggle. Both of these character loads are important, but they are not in line with the challenges facing the Indonesian people today, namely the spread of radicalism and transnationalism. There are contents that do not appear in the text, namely discipline, love peace, love to read, and care for the environment.</w:t>
      </w:r>
    </w:p>
    <w:p w:rsidR="000E54F0" w:rsidRPr="001836E4" w:rsidRDefault="007E2116" w:rsidP="001836E4">
      <w:pPr>
        <w:rPr>
          <w:b/>
          <w:sz w:val="24"/>
          <w:szCs w:val="24"/>
        </w:rPr>
      </w:pPr>
      <w:r w:rsidRPr="00191FEB">
        <w:rPr>
          <w:b/>
          <w:sz w:val="24"/>
          <w:szCs w:val="24"/>
        </w:rPr>
        <w:t>Reference</w:t>
      </w:r>
    </w:p>
    <w:p w:rsidR="001836E4" w:rsidRPr="001836E4" w:rsidRDefault="001051C4" w:rsidP="001836E4">
      <w:pPr>
        <w:widowControl w:val="0"/>
        <w:autoSpaceDE w:val="0"/>
        <w:autoSpaceDN w:val="0"/>
        <w:adjustRightInd w:val="0"/>
        <w:ind w:left="640" w:hanging="64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001836E4" w:rsidRPr="001836E4">
        <w:rPr>
          <w:noProof/>
          <w:sz w:val="24"/>
          <w:szCs w:val="24"/>
        </w:rPr>
        <w:t>[1]</w:t>
      </w:r>
      <w:r w:rsidR="001836E4" w:rsidRPr="001836E4">
        <w:rPr>
          <w:noProof/>
          <w:sz w:val="24"/>
          <w:szCs w:val="24"/>
        </w:rPr>
        <w:tab/>
        <w:t xml:space="preserve">M. Repoussi and N. Tutiaux-Guillon, "New trends in history textbook research: Issues and methodologies toward a school historiography," </w:t>
      </w:r>
      <w:r w:rsidR="001836E4" w:rsidRPr="001836E4">
        <w:rPr>
          <w:i/>
          <w:iCs/>
          <w:noProof/>
          <w:sz w:val="24"/>
          <w:szCs w:val="24"/>
        </w:rPr>
        <w:t>J. Educ. Media, Mem. Soc.</w:t>
      </w:r>
      <w:r w:rsidR="001836E4" w:rsidRPr="001836E4">
        <w:rPr>
          <w:noProof/>
          <w:sz w:val="24"/>
          <w:szCs w:val="24"/>
        </w:rPr>
        <w:t>, vol. 2, no. 1, pp. 154-170, 2010.</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[2]</w:t>
      </w:r>
      <w:r w:rsidRPr="001836E4">
        <w:rPr>
          <w:noProof/>
          <w:sz w:val="24"/>
          <w:szCs w:val="24"/>
        </w:rPr>
        <w:tab/>
        <w:t>K. Crawford, "Researching the Ideological and Political Role of the History Textbook - Issues and Methods," pp. 1–8, 1993.</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[3]</w:t>
      </w:r>
      <w:r w:rsidRPr="001836E4">
        <w:rPr>
          <w:noProof/>
          <w:sz w:val="24"/>
          <w:szCs w:val="24"/>
        </w:rPr>
        <w:tab/>
        <w:t xml:space="preserve">D. Garinger, "Textbook Selection for the ESL Classroom," </w:t>
      </w:r>
      <w:r w:rsidRPr="001836E4">
        <w:rPr>
          <w:i/>
          <w:iCs/>
          <w:noProof/>
          <w:sz w:val="24"/>
          <w:szCs w:val="24"/>
        </w:rPr>
        <w:t>CAL Dig.</w:t>
      </w:r>
      <w:r w:rsidRPr="001836E4">
        <w:rPr>
          <w:noProof/>
          <w:sz w:val="24"/>
          <w:szCs w:val="24"/>
        </w:rPr>
        <w:t>, no. December 2002, p. 3, 2002.</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[4]</w:t>
      </w:r>
      <w:r w:rsidRPr="001836E4">
        <w:rPr>
          <w:noProof/>
          <w:sz w:val="24"/>
          <w:szCs w:val="24"/>
        </w:rPr>
        <w:tab/>
        <w:t xml:space="preserve">EI Nikonova, IA Sharonov, SN Sorokoumova, OV Suvorova, and EA Sorokoumova, "Modern functions of a textbook on social sciences and humanities as an informational management tool of university education," </w:t>
      </w:r>
      <w:r w:rsidRPr="001836E4">
        <w:rPr>
          <w:i/>
          <w:iCs/>
          <w:noProof/>
          <w:sz w:val="24"/>
          <w:szCs w:val="24"/>
        </w:rPr>
        <w:t>Int. J. Environ. Sci Educ.</w:t>
      </w:r>
      <w:r w:rsidRPr="001836E4">
        <w:rPr>
          <w:noProof/>
          <w:sz w:val="24"/>
          <w:szCs w:val="24"/>
        </w:rPr>
        <w:t>, vol. 11, no. 10, pp. 3764–3774, 2016.</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[5]</w:t>
      </w:r>
      <w:r w:rsidRPr="001836E4">
        <w:rPr>
          <w:noProof/>
          <w:sz w:val="24"/>
          <w:szCs w:val="24"/>
        </w:rPr>
        <w:tab/>
        <w:t xml:space="preserve">Z. Wang, "Old wounds, new narratives: Joint history textbook writing and building in East Asia," </w:t>
      </w:r>
      <w:r w:rsidRPr="001836E4">
        <w:rPr>
          <w:i/>
          <w:iCs/>
          <w:noProof/>
          <w:sz w:val="24"/>
          <w:szCs w:val="24"/>
        </w:rPr>
        <w:t>Hist Mem</w:t>
      </w:r>
      <w:r w:rsidRPr="001836E4">
        <w:rPr>
          <w:noProof/>
          <w:sz w:val="24"/>
          <w:szCs w:val="24"/>
        </w:rPr>
        <w:t>, vol. 21, no. 1, pp. 101–126, 2009.</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[6]</w:t>
      </w:r>
      <w:r w:rsidRPr="001836E4">
        <w:rPr>
          <w:noProof/>
          <w:sz w:val="24"/>
          <w:szCs w:val="24"/>
        </w:rPr>
        <w:tab/>
        <w:t>F. Pingel, "Can truth be negotiated? History textbook revision as a means to reconciliation, "</w:t>
      </w:r>
      <w:r w:rsidRPr="001836E4">
        <w:rPr>
          <w:i/>
          <w:iCs/>
          <w:noProof/>
          <w:sz w:val="24"/>
          <w:szCs w:val="24"/>
        </w:rPr>
        <w:t>Ann Am Acad. Pol. Soc. Sci</w:t>
      </w:r>
      <w:r w:rsidRPr="001836E4">
        <w:rPr>
          <w:noProof/>
          <w:sz w:val="24"/>
          <w:szCs w:val="24"/>
        </w:rPr>
        <w:t>, vol. 617, no. 1, pp. 181–198, 2008.</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[7]</w:t>
      </w:r>
      <w:r w:rsidRPr="001836E4">
        <w:rPr>
          <w:noProof/>
          <w:sz w:val="24"/>
          <w:szCs w:val="24"/>
        </w:rPr>
        <w:tab/>
        <w:t xml:space="preserve">KH Lau, T. Lam, BH Kam, M. Nkhoma, J. Richardson, and S. Thomas, "The role of textbook learning resources in e-learning: A taxonomic study," </w:t>
      </w:r>
      <w:r w:rsidRPr="001836E4">
        <w:rPr>
          <w:i/>
          <w:iCs/>
          <w:noProof/>
          <w:sz w:val="24"/>
          <w:szCs w:val="24"/>
        </w:rPr>
        <w:t>Comput Educ.</w:t>
      </w:r>
      <w:r w:rsidRPr="001836E4">
        <w:rPr>
          <w:noProof/>
          <w:sz w:val="24"/>
          <w:szCs w:val="24"/>
        </w:rPr>
        <w:t>, vol. 118, pp. 10–24, 2018.</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[8]</w:t>
      </w:r>
      <w:r w:rsidRPr="001836E4">
        <w:rPr>
          <w:noProof/>
          <w:sz w:val="24"/>
          <w:szCs w:val="24"/>
        </w:rPr>
        <w:tab/>
        <w:t xml:space="preserve">E. Fuchs, "Current Trends in History and Social Studies Textbook Research," </w:t>
      </w:r>
      <w:r w:rsidRPr="001836E4">
        <w:rPr>
          <w:i/>
          <w:iCs/>
          <w:noProof/>
          <w:sz w:val="24"/>
          <w:szCs w:val="24"/>
        </w:rPr>
        <w:t>J. Int. Coop Educ.</w:t>
      </w:r>
      <w:r w:rsidRPr="001836E4">
        <w:rPr>
          <w:noProof/>
          <w:sz w:val="24"/>
          <w:szCs w:val="24"/>
        </w:rPr>
        <w:t>, vol. 14, no. 2, pp. 17–34, 2011.</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[9]</w:t>
      </w:r>
      <w:r w:rsidRPr="001836E4">
        <w:rPr>
          <w:noProof/>
          <w:sz w:val="24"/>
          <w:szCs w:val="24"/>
        </w:rPr>
        <w:tab/>
        <w:t xml:space="preserve">RL Hughes, "A Hint of Whiteness: History Textbooks and Social Construction of Race in the Wake of the Sixties," </w:t>
      </w:r>
      <w:r w:rsidRPr="001836E4">
        <w:rPr>
          <w:i/>
          <w:iCs/>
          <w:noProof/>
          <w:sz w:val="24"/>
          <w:szCs w:val="24"/>
        </w:rPr>
        <w:t>Soc. Stud</w:t>
      </w:r>
      <w:r w:rsidRPr="001836E4">
        <w:rPr>
          <w:noProof/>
          <w:sz w:val="24"/>
          <w:szCs w:val="24"/>
        </w:rPr>
        <w:t>, vol. 98, no. 5, pp. 201-208, 2007.</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[10]</w:t>
      </w:r>
      <w:r w:rsidRPr="001836E4">
        <w:rPr>
          <w:noProof/>
          <w:sz w:val="24"/>
          <w:szCs w:val="24"/>
        </w:rPr>
        <w:tab/>
        <w:t xml:space="preserve">J. DeRose, "Comparing International Textbooks to Develop Historical Thinking.," </w:t>
      </w:r>
      <w:r w:rsidRPr="001836E4">
        <w:rPr>
          <w:i/>
          <w:iCs/>
          <w:noProof/>
          <w:sz w:val="24"/>
          <w:szCs w:val="24"/>
        </w:rPr>
        <w:t>Soc. Educ.</w:t>
      </w:r>
      <w:r w:rsidRPr="001836E4">
        <w:rPr>
          <w:noProof/>
          <w:sz w:val="24"/>
          <w:szCs w:val="24"/>
        </w:rPr>
        <w:t>, vol. 71, no. 1, pp. 36–39, 2007.</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[11]</w:t>
      </w:r>
      <w:r w:rsidRPr="001836E4">
        <w:rPr>
          <w:noProof/>
          <w:sz w:val="24"/>
          <w:szCs w:val="24"/>
        </w:rPr>
        <w:tab/>
        <w:t>AR Saavedra and V. Darleen Opfer, "Learning 21st-century skills requires 21st-century teaching, "Phi Delta Kappan, vol. 94, no. 2, pp. 8–13, 2012.</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[12]</w:t>
      </w:r>
      <w:r w:rsidRPr="001836E4">
        <w:rPr>
          <w:noProof/>
          <w:sz w:val="24"/>
          <w:szCs w:val="24"/>
        </w:rPr>
        <w:tab/>
        <w:t xml:space="preserve">IWP Utami and AN Widiadi, "Unity in Diversity Discourse in History Textbooks," </w:t>
      </w:r>
      <w:r w:rsidRPr="001836E4">
        <w:rPr>
          <w:i/>
          <w:iCs/>
          <w:noProof/>
          <w:sz w:val="24"/>
          <w:szCs w:val="24"/>
        </w:rPr>
        <w:t>Paramita Hist. Stud J.</w:t>
      </w:r>
      <w:r w:rsidRPr="001836E4">
        <w:rPr>
          <w:noProof/>
          <w:sz w:val="24"/>
          <w:szCs w:val="24"/>
        </w:rPr>
        <w:t>, vol. 26, no. 1, p. 106, 2016.</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[13]</w:t>
      </w:r>
      <w:r w:rsidRPr="001836E4">
        <w:rPr>
          <w:noProof/>
          <w:sz w:val="24"/>
          <w:szCs w:val="24"/>
        </w:rPr>
        <w:tab/>
        <w:t xml:space="preserve">H. Purwanta, "Evaluation of the Content of History Textbooks in the New Order," </w:t>
      </w:r>
      <w:r w:rsidRPr="001836E4">
        <w:rPr>
          <w:i/>
          <w:iCs/>
          <w:noProof/>
          <w:sz w:val="24"/>
          <w:szCs w:val="24"/>
        </w:rPr>
        <w:t>J. Horizon Educators.</w:t>
      </w:r>
      <w:r w:rsidRPr="001836E4">
        <w:rPr>
          <w:noProof/>
          <w:sz w:val="24"/>
          <w:szCs w:val="24"/>
        </w:rPr>
        <w:t>, no. 3, pp. 424–440, 2013.</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[14]</w:t>
      </w:r>
      <w:r w:rsidRPr="001836E4">
        <w:rPr>
          <w:noProof/>
          <w:sz w:val="24"/>
          <w:szCs w:val="24"/>
        </w:rPr>
        <w:tab/>
        <w:t xml:space="preserve">Main EJPU, "Historical Material in West Kalimantan Multicultural Education Local Content Textbooks," </w:t>
      </w:r>
      <w:r w:rsidRPr="001836E4">
        <w:rPr>
          <w:i/>
          <w:iCs/>
          <w:noProof/>
          <w:sz w:val="24"/>
          <w:szCs w:val="24"/>
        </w:rPr>
        <w:t>SOCIA J. The Social Sciences.</w:t>
      </w:r>
      <w:r w:rsidRPr="001836E4">
        <w:rPr>
          <w:noProof/>
          <w:sz w:val="24"/>
          <w:szCs w:val="24"/>
        </w:rPr>
        <w:t>, vol. 10, no. 2, 2015.</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[15]</w:t>
      </w:r>
      <w:r w:rsidRPr="001836E4">
        <w:rPr>
          <w:noProof/>
          <w:sz w:val="24"/>
          <w:szCs w:val="24"/>
        </w:rPr>
        <w:tab/>
        <w:t xml:space="preserve">S. Rijal, "Radicalism of Young Muslims Educated in Makassar," </w:t>
      </w:r>
      <w:r w:rsidRPr="001836E4">
        <w:rPr>
          <w:i/>
          <w:iCs/>
          <w:noProof/>
          <w:sz w:val="24"/>
          <w:szCs w:val="24"/>
        </w:rPr>
        <w:t>Al-Qalam</w:t>
      </w:r>
      <w:r w:rsidRPr="001836E4">
        <w:rPr>
          <w:noProof/>
          <w:sz w:val="24"/>
          <w:szCs w:val="24"/>
        </w:rPr>
        <w:t>, vol. 23, no. 2, 2017.</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[16]</w:t>
      </w:r>
      <w:r w:rsidRPr="001836E4">
        <w:rPr>
          <w:noProof/>
          <w:sz w:val="24"/>
          <w:szCs w:val="24"/>
        </w:rPr>
        <w:tab/>
        <w:t xml:space="preserve">Z. Qodir, "Youth, Religious Intolerance and Radicalism," </w:t>
      </w:r>
      <w:r w:rsidRPr="001836E4">
        <w:rPr>
          <w:i/>
          <w:iCs/>
          <w:noProof/>
          <w:sz w:val="24"/>
          <w:szCs w:val="24"/>
        </w:rPr>
        <w:t>J. Stud. Young man</w:t>
      </w:r>
      <w:r w:rsidRPr="001836E4">
        <w:rPr>
          <w:noProof/>
          <w:sz w:val="24"/>
          <w:szCs w:val="24"/>
        </w:rPr>
        <w:t>, vol. 5, no. 1, p. 429, 2018.</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[17]</w:t>
      </w:r>
      <w:r w:rsidRPr="001836E4">
        <w:rPr>
          <w:noProof/>
          <w:sz w:val="24"/>
          <w:szCs w:val="24"/>
        </w:rPr>
        <w:tab/>
        <w:t xml:space="preserve">HA Sanaky and E. Safitri, "Religious Radicalism in the Perspective of Education," </w:t>
      </w:r>
      <w:r w:rsidRPr="001836E4">
        <w:rPr>
          <w:i/>
          <w:iCs/>
          <w:noProof/>
          <w:sz w:val="24"/>
          <w:szCs w:val="24"/>
        </w:rPr>
        <w:t>Millah</w:t>
      </w:r>
      <w:r w:rsidRPr="001836E4">
        <w:rPr>
          <w:noProof/>
          <w:sz w:val="24"/>
          <w:szCs w:val="24"/>
        </w:rPr>
        <w:t>, vol. XIV, no. 2, pp. 135–146, 2016.</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[18]</w:t>
      </w:r>
      <w:r w:rsidRPr="001836E4">
        <w:rPr>
          <w:noProof/>
          <w:sz w:val="24"/>
          <w:szCs w:val="24"/>
        </w:rPr>
        <w:tab/>
        <w:t xml:space="preserve">F. Pingel, </w:t>
      </w:r>
      <w:r w:rsidRPr="001836E4">
        <w:rPr>
          <w:i/>
          <w:iCs/>
          <w:noProof/>
          <w:sz w:val="24"/>
          <w:szCs w:val="24"/>
        </w:rPr>
        <w:t>UNESCO guidebook on textbook research and textbook revision (2nd revised and updated ed.)</w:t>
      </w:r>
      <w:r w:rsidRPr="001836E4">
        <w:rPr>
          <w:noProof/>
          <w:sz w:val="24"/>
          <w:szCs w:val="24"/>
        </w:rPr>
        <w:t xml:space="preserve">. Paris: United Nations Educational, Scientific and Cultural Organization, and the Georg Eckert Institute for International Textbook Research, </w:t>
      </w:r>
      <w:r w:rsidRPr="001836E4">
        <w:rPr>
          <w:noProof/>
          <w:sz w:val="24"/>
          <w:szCs w:val="24"/>
        </w:rPr>
        <w:lastRenderedPageBreak/>
        <w:t>2010.</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[19]</w:t>
      </w:r>
      <w:r w:rsidRPr="001836E4">
        <w:rPr>
          <w:noProof/>
          <w:sz w:val="24"/>
          <w:szCs w:val="24"/>
        </w:rPr>
        <w:tab/>
        <w:t xml:space="preserve">Eriyanto, </w:t>
      </w:r>
      <w:r w:rsidRPr="001836E4">
        <w:rPr>
          <w:i/>
          <w:iCs/>
          <w:noProof/>
          <w:sz w:val="24"/>
          <w:szCs w:val="24"/>
        </w:rPr>
        <w:t>Discourse Analysis: Introduction to Media Text Analysis</w:t>
      </w:r>
      <w:r w:rsidRPr="001836E4">
        <w:rPr>
          <w:noProof/>
          <w:sz w:val="24"/>
          <w:szCs w:val="24"/>
        </w:rPr>
        <w:t>. Yogyakarta: LKIS, 2011.</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[20]</w:t>
      </w:r>
      <w:r w:rsidRPr="001836E4">
        <w:rPr>
          <w:noProof/>
          <w:sz w:val="24"/>
          <w:szCs w:val="24"/>
        </w:rPr>
        <w:tab/>
        <w:t>I. Hamad, "Development of Discourse Analysis in Communication Science." 2012.</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[21]</w:t>
      </w:r>
      <w:r w:rsidRPr="001836E4">
        <w:rPr>
          <w:noProof/>
          <w:sz w:val="24"/>
          <w:szCs w:val="24"/>
        </w:rPr>
        <w:tab/>
        <w:t xml:space="preserve">Ministry of Education and Culture, "Concepts and Guidelines for Strengthening Character Education," </w:t>
      </w:r>
      <w:r w:rsidRPr="001836E4">
        <w:rPr>
          <w:i/>
          <w:iCs/>
          <w:noProof/>
          <w:sz w:val="24"/>
          <w:szCs w:val="24"/>
        </w:rPr>
        <w:t>Ministry of Education and Culture</w:t>
      </w:r>
      <w:r w:rsidRPr="001836E4">
        <w:rPr>
          <w:noProof/>
          <w:sz w:val="24"/>
          <w:szCs w:val="24"/>
        </w:rPr>
        <w:t>, p. 58, 2017.</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[22]</w:t>
      </w:r>
      <w:r w:rsidRPr="001836E4">
        <w:rPr>
          <w:noProof/>
          <w:sz w:val="24"/>
          <w:szCs w:val="24"/>
        </w:rPr>
        <w:tab/>
        <w:t xml:space="preserve">V. Greaney, </w:t>
      </w:r>
      <w:r w:rsidRPr="001836E4">
        <w:rPr>
          <w:i/>
          <w:iCs/>
          <w:noProof/>
          <w:sz w:val="24"/>
          <w:szCs w:val="24"/>
        </w:rPr>
        <w:t>Textbooks, respect for diversity, and social cohesion</w:t>
      </w:r>
      <w:r w:rsidRPr="001836E4">
        <w:rPr>
          <w:noProof/>
          <w:sz w:val="24"/>
          <w:szCs w:val="24"/>
        </w:rPr>
        <w:t>. 2006.</w:t>
      </w:r>
    </w:p>
    <w:p w:rsidR="001836E4" w:rsidRPr="001836E4" w:rsidRDefault="001836E4" w:rsidP="001836E4">
      <w:pPr>
        <w:widowControl w:val="0"/>
        <w:autoSpaceDE w:val="0"/>
        <w:autoSpaceDN w:val="0"/>
        <w:adjustRightInd w:val="0"/>
        <w:ind w:left="640" w:hanging="640"/>
        <w:rPr>
          <w:noProof/>
          <w:sz w:val="24"/>
          <w:szCs w:val="24"/>
        </w:rPr>
      </w:pPr>
      <w:r w:rsidRPr="001836E4">
        <w:rPr>
          <w:noProof/>
          <w:sz w:val="24"/>
          <w:szCs w:val="24"/>
        </w:rPr>
        <w:t>[23]</w:t>
      </w:r>
      <w:r w:rsidRPr="001836E4">
        <w:rPr>
          <w:noProof/>
          <w:sz w:val="24"/>
          <w:szCs w:val="24"/>
        </w:rPr>
        <w:tab/>
        <w:t xml:space="preserve">M. (Ed) Riley, </w:t>
      </w:r>
      <w:r w:rsidRPr="001836E4">
        <w:rPr>
          <w:i/>
          <w:iCs/>
          <w:noProof/>
          <w:sz w:val="24"/>
          <w:szCs w:val="24"/>
        </w:rPr>
        <w:t>Guidebook for History Textbooks Authors</w:t>
      </w:r>
      <w:r w:rsidRPr="001836E4">
        <w:rPr>
          <w:noProof/>
          <w:sz w:val="24"/>
          <w:szCs w:val="24"/>
        </w:rPr>
        <w:t>. .</w:t>
      </w:r>
    </w:p>
    <w:p w:rsidR="001836E4" w:rsidRPr="001836E4" w:rsidRDefault="001836E4" w:rsidP="001836E4">
      <w:pPr>
        <w:widowControl w:val="0"/>
        <w:autoSpaceDE w:val="0"/>
        <w:autoSpaceDN w:val="0"/>
        <w:adjustRightInd w:val="0"/>
        <w:ind w:left="640" w:hanging="640"/>
        <w:rPr>
          <w:noProof/>
          <w:sz w:val="24"/>
        </w:rPr>
      </w:pPr>
      <w:r w:rsidRPr="001836E4">
        <w:rPr>
          <w:noProof/>
          <w:sz w:val="24"/>
          <w:szCs w:val="24"/>
        </w:rPr>
        <w:t>[24]</w:t>
      </w:r>
      <w:r w:rsidRPr="001836E4">
        <w:rPr>
          <w:noProof/>
          <w:sz w:val="24"/>
          <w:szCs w:val="24"/>
        </w:rPr>
        <w:tab/>
        <w:t>M. Bialik, C. Fadel, B. Trilling, P. Nilsson, and J. Groff, "21st Century Skills: What should students learn?" May, 2015.</w:t>
      </w:r>
    </w:p>
    <w:p w:rsidR="007E2116" w:rsidRPr="00191FEB" w:rsidRDefault="001051C4" w:rsidP="000E54F0">
      <w:pPr>
        <w:rPr>
          <w:b/>
          <w:sz w:val="24"/>
          <w:szCs w:val="24"/>
        </w:rPr>
      </w:pPr>
      <w:r>
        <w:rPr>
          <w:b/>
          <w:sz w:val="24"/>
          <w:szCs w:val="24"/>
        </w:rPr>
        <w:fldChar w:fldCharType="end"/>
      </w: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Default="00D02FE5" w:rsidP="000E54F0">
      <w:pPr>
        <w:rPr>
          <w:sz w:val="24"/>
          <w:szCs w:val="24"/>
        </w:rPr>
      </w:pPr>
    </w:p>
    <w:p w:rsidR="00D02FE5" w:rsidRPr="00191FEB" w:rsidRDefault="00D02FE5" w:rsidP="000E54F0">
      <w:pPr>
        <w:rPr>
          <w:sz w:val="24"/>
          <w:szCs w:val="24"/>
        </w:rPr>
      </w:pPr>
    </w:p>
    <w:sectPr w:rsidR="00D02FE5" w:rsidRPr="00191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F1924"/>
    <w:multiLevelType w:val="hybridMultilevel"/>
    <w:tmpl w:val="599E79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116"/>
    <w:rsid w:val="00044BD6"/>
    <w:rsid w:val="00045D29"/>
    <w:rsid w:val="000C1BD4"/>
    <w:rsid w:val="000D7659"/>
    <w:rsid w:val="000E54F0"/>
    <w:rsid w:val="001051C4"/>
    <w:rsid w:val="001257B3"/>
    <w:rsid w:val="00152F54"/>
    <w:rsid w:val="001575FC"/>
    <w:rsid w:val="001836E4"/>
    <w:rsid w:val="00191FEB"/>
    <w:rsid w:val="001932C6"/>
    <w:rsid w:val="001B5251"/>
    <w:rsid w:val="001B7DC1"/>
    <w:rsid w:val="001C422F"/>
    <w:rsid w:val="001D37E3"/>
    <w:rsid w:val="00210FDA"/>
    <w:rsid w:val="00234A72"/>
    <w:rsid w:val="002375F7"/>
    <w:rsid w:val="00260F25"/>
    <w:rsid w:val="00280581"/>
    <w:rsid w:val="002A320C"/>
    <w:rsid w:val="002B7A37"/>
    <w:rsid w:val="002D56F2"/>
    <w:rsid w:val="002F7099"/>
    <w:rsid w:val="00300054"/>
    <w:rsid w:val="00351038"/>
    <w:rsid w:val="003737E1"/>
    <w:rsid w:val="00392A5A"/>
    <w:rsid w:val="003954E4"/>
    <w:rsid w:val="003E56F2"/>
    <w:rsid w:val="00407AB2"/>
    <w:rsid w:val="0042695D"/>
    <w:rsid w:val="0046249C"/>
    <w:rsid w:val="00470C85"/>
    <w:rsid w:val="00474162"/>
    <w:rsid w:val="004E0C58"/>
    <w:rsid w:val="004F4B6C"/>
    <w:rsid w:val="0050490C"/>
    <w:rsid w:val="0052403D"/>
    <w:rsid w:val="00573A84"/>
    <w:rsid w:val="00577939"/>
    <w:rsid w:val="00597E3D"/>
    <w:rsid w:val="005B24E8"/>
    <w:rsid w:val="005B3C26"/>
    <w:rsid w:val="005B4A0B"/>
    <w:rsid w:val="005D5293"/>
    <w:rsid w:val="005E6069"/>
    <w:rsid w:val="005E6B56"/>
    <w:rsid w:val="00620420"/>
    <w:rsid w:val="00636821"/>
    <w:rsid w:val="006A6692"/>
    <w:rsid w:val="006C0F55"/>
    <w:rsid w:val="00715919"/>
    <w:rsid w:val="00723854"/>
    <w:rsid w:val="00732AA8"/>
    <w:rsid w:val="00763EBA"/>
    <w:rsid w:val="007E2116"/>
    <w:rsid w:val="007E54A1"/>
    <w:rsid w:val="00822C40"/>
    <w:rsid w:val="00855EFB"/>
    <w:rsid w:val="008575A2"/>
    <w:rsid w:val="0085779D"/>
    <w:rsid w:val="00871486"/>
    <w:rsid w:val="008954C3"/>
    <w:rsid w:val="008D3C8C"/>
    <w:rsid w:val="008E0DCB"/>
    <w:rsid w:val="008F6AFE"/>
    <w:rsid w:val="009127FD"/>
    <w:rsid w:val="009146F3"/>
    <w:rsid w:val="00925816"/>
    <w:rsid w:val="00937959"/>
    <w:rsid w:val="0096329D"/>
    <w:rsid w:val="00967C78"/>
    <w:rsid w:val="00990B8F"/>
    <w:rsid w:val="009D1493"/>
    <w:rsid w:val="009D7448"/>
    <w:rsid w:val="00A8061E"/>
    <w:rsid w:val="00AB6BF7"/>
    <w:rsid w:val="00AF11D9"/>
    <w:rsid w:val="00B00D80"/>
    <w:rsid w:val="00B21D15"/>
    <w:rsid w:val="00B35979"/>
    <w:rsid w:val="00B61D86"/>
    <w:rsid w:val="00B62238"/>
    <w:rsid w:val="00B66A12"/>
    <w:rsid w:val="00B700F3"/>
    <w:rsid w:val="00B71AFC"/>
    <w:rsid w:val="00B83403"/>
    <w:rsid w:val="00BA6D0C"/>
    <w:rsid w:val="00BB01E9"/>
    <w:rsid w:val="00BD75D0"/>
    <w:rsid w:val="00C8452C"/>
    <w:rsid w:val="00D02FE5"/>
    <w:rsid w:val="00D226E4"/>
    <w:rsid w:val="00D23E47"/>
    <w:rsid w:val="00D26B58"/>
    <w:rsid w:val="00D40469"/>
    <w:rsid w:val="00D57E98"/>
    <w:rsid w:val="00D62266"/>
    <w:rsid w:val="00D7313A"/>
    <w:rsid w:val="00D97ECA"/>
    <w:rsid w:val="00DA6031"/>
    <w:rsid w:val="00DD1406"/>
    <w:rsid w:val="00DF2AA2"/>
    <w:rsid w:val="00DF496B"/>
    <w:rsid w:val="00E26CA7"/>
    <w:rsid w:val="00EE0DF9"/>
    <w:rsid w:val="00F4104F"/>
    <w:rsid w:val="00FB10E1"/>
    <w:rsid w:val="00FC7A3C"/>
    <w:rsid w:val="00FD0B98"/>
    <w:rsid w:val="00FF066F"/>
    <w:rsid w:val="00FF09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D7477-A191-4D66-A8FE-A519EF1B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116"/>
    <w:pPr>
      <w:spacing w:after="0" w:line="240" w:lineRule="auto"/>
    </w:pPr>
    <w:rPr>
      <w:rFonts w:ascii="Times New Roman" w:eastAsia="Times New Roman" w:hAnsi="Times New Roman" w:cs="Times New Roman"/>
      <w:color w:val="000000"/>
      <w:sz w:val="20"/>
      <w:szCs w:val="20"/>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2116"/>
    <w:rPr>
      <w:color w:val="0563C1"/>
      <w:u w:val="single"/>
    </w:rPr>
  </w:style>
  <w:style w:type="paragraph" w:styleId="ListParagraph">
    <w:name w:val="List Paragraph"/>
    <w:aliases w:val="Body of text,List Paragraph1,Medium Grid 1 - Accent 21,Body of text+1,Body of text+2,Body of text+3,List Paragraph11,Body of textCxSp"/>
    <w:basedOn w:val="Normal"/>
    <w:link w:val="ListParagraphChar"/>
    <w:uiPriority w:val="34"/>
    <w:qFormat/>
    <w:rsid w:val="007E2116"/>
    <w:pPr>
      <w:spacing w:after="160" w:line="259" w:lineRule="auto"/>
      <w:ind w:left="720"/>
      <w:contextualSpacing/>
    </w:pPr>
    <w:rPr>
      <w:rFonts w:ascii="Calibri" w:eastAsia="Calibri" w:hAnsi="Calibri"/>
      <w:color w:val="auto"/>
      <w:sz w:val="22"/>
      <w:szCs w:val="22"/>
      <w:lang w:val="id-ID" w:eastAsia="en-US"/>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
    <w:basedOn w:val="DefaultParagraphFont"/>
    <w:link w:val="ListParagraph"/>
    <w:uiPriority w:val="34"/>
    <w:locked/>
    <w:rsid w:val="007E2116"/>
    <w:rPr>
      <w:rFonts w:ascii="Calibri" w:eastAsia="Calibri" w:hAnsi="Calibri" w:cs="Times New Roman"/>
    </w:rPr>
  </w:style>
  <w:style w:type="table" w:styleId="TableGrid">
    <w:name w:val="Table Grid"/>
    <w:basedOn w:val="TableNormal"/>
    <w:uiPriority w:val="39"/>
    <w:rsid w:val="007E2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E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0392">
      <w:bodyDiv w:val="1"/>
      <w:marLeft w:val="0"/>
      <w:marRight w:val="0"/>
      <w:marTop w:val="0"/>
      <w:marBottom w:val="0"/>
      <w:divBdr>
        <w:top w:val="none" w:sz="0" w:space="0" w:color="auto"/>
        <w:left w:val="none" w:sz="0" w:space="0" w:color="auto"/>
        <w:bottom w:val="none" w:sz="0" w:space="0" w:color="auto"/>
        <w:right w:val="none" w:sz="0" w:space="0" w:color="auto"/>
      </w:divBdr>
    </w:div>
    <w:div w:id="52424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uskurbuk.kemendikbud.g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t>Pendidikan Karakter dalam Buku Teks Sejarah Indonesia SMA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Sheet1!$B$1</c:f>
              <c:strCache>
                <c:ptCount val="1"/>
                <c:pt idx="0">
                  <c:v>X</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Religius</c:v>
                </c:pt>
                <c:pt idx="1">
                  <c:v>Jujur</c:v>
                </c:pt>
                <c:pt idx="2">
                  <c:v>Toleransi</c:v>
                </c:pt>
                <c:pt idx="3">
                  <c:v>Disiplin</c:v>
                </c:pt>
                <c:pt idx="4">
                  <c:v>Kerja Keras</c:v>
                </c:pt>
                <c:pt idx="5">
                  <c:v>Kreatif</c:v>
                </c:pt>
                <c:pt idx="6">
                  <c:v>Mandiri</c:v>
                </c:pt>
                <c:pt idx="7">
                  <c:v>Demokratis</c:v>
                </c:pt>
                <c:pt idx="8">
                  <c:v>Rasa Ingin Tahu</c:v>
                </c:pt>
                <c:pt idx="9">
                  <c:v>Semangat Kebangsaan</c:v>
                </c:pt>
                <c:pt idx="10">
                  <c:v>Cinta Tanah Air</c:v>
                </c:pt>
                <c:pt idx="11">
                  <c:v>Menghargai Prestasi</c:v>
                </c:pt>
                <c:pt idx="12">
                  <c:v>Bersahabat/Komunikatif</c:v>
                </c:pt>
                <c:pt idx="13">
                  <c:v>Cinta Damai</c:v>
                </c:pt>
                <c:pt idx="14">
                  <c:v>Gemar Membaca</c:v>
                </c:pt>
                <c:pt idx="15">
                  <c:v>Peduli Lingkungan</c:v>
                </c:pt>
                <c:pt idx="16">
                  <c:v>Peduli Sosial</c:v>
                </c:pt>
                <c:pt idx="17">
                  <c:v>Tanggung Jawab</c:v>
                </c:pt>
              </c:strCache>
            </c:strRef>
          </c:cat>
          <c:val>
            <c:numRef>
              <c:f>Sheet1!$B$2:$B$19</c:f>
              <c:numCache>
                <c:formatCode>General</c:formatCode>
                <c:ptCount val="18"/>
                <c:pt idx="0">
                  <c:v>5</c:v>
                </c:pt>
                <c:pt idx="1">
                  <c:v>1</c:v>
                </c:pt>
                <c:pt idx="2">
                  <c:v>0</c:v>
                </c:pt>
                <c:pt idx="3">
                  <c:v>0</c:v>
                </c:pt>
                <c:pt idx="4">
                  <c:v>1</c:v>
                </c:pt>
                <c:pt idx="5">
                  <c:v>0</c:v>
                </c:pt>
                <c:pt idx="6">
                  <c:v>1</c:v>
                </c:pt>
                <c:pt idx="7">
                  <c:v>0</c:v>
                </c:pt>
                <c:pt idx="8">
                  <c:v>5</c:v>
                </c:pt>
                <c:pt idx="9">
                  <c:v>3</c:v>
                </c:pt>
                <c:pt idx="10">
                  <c:v>1</c:v>
                </c:pt>
                <c:pt idx="11">
                  <c:v>0</c:v>
                </c:pt>
                <c:pt idx="12">
                  <c:v>9</c:v>
                </c:pt>
                <c:pt idx="13">
                  <c:v>0</c:v>
                </c:pt>
                <c:pt idx="14">
                  <c:v>0</c:v>
                </c:pt>
                <c:pt idx="15">
                  <c:v>0</c:v>
                </c:pt>
                <c:pt idx="16">
                  <c:v>0</c:v>
                </c:pt>
                <c:pt idx="17">
                  <c:v>0</c:v>
                </c:pt>
              </c:numCache>
            </c:numRef>
          </c:val>
        </c:ser>
        <c:ser>
          <c:idx val="1"/>
          <c:order val="1"/>
          <c:tx>
            <c:strRef>
              <c:f>Sheet1!$C$1</c:f>
              <c:strCache>
                <c:ptCount val="1"/>
                <c:pt idx="0">
                  <c:v>XI Semester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Religius</c:v>
                </c:pt>
                <c:pt idx="1">
                  <c:v>Jujur</c:v>
                </c:pt>
                <c:pt idx="2">
                  <c:v>Toleransi</c:v>
                </c:pt>
                <c:pt idx="3">
                  <c:v>Disiplin</c:v>
                </c:pt>
                <c:pt idx="4">
                  <c:v>Kerja Keras</c:v>
                </c:pt>
                <c:pt idx="5">
                  <c:v>Kreatif</c:v>
                </c:pt>
                <c:pt idx="6">
                  <c:v>Mandiri</c:v>
                </c:pt>
                <c:pt idx="7">
                  <c:v>Demokratis</c:v>
                </c:pt>
                <c:pt idx="8">
                  <c:v>Rasa Ingin Tahu</c:v>
                </c:pt>
                <c:pt idx="9">
                  <c:v>Semangat Kebangsaan</c:v>
                </c:pt>
                <c:pt idx="10">
                  <c:v>Cinta Tanah Air</c:v>
                </c:pt>
                <c:pt idx="11">
                  <c:v>Menghargai Prestasi</c:v>
                </c:pt>
                <c:pt idx="12">
                  <c:v>Bersahabat/Komunikatif</c:v>
                </c:pt>
                <c:pt idx="13">
                  <c:v>Cinta Damai</c:v>
                </c:pt>
                <c:pt idx="14">
                  <c:v>Gemar Membaca</c:v>
                </c:pt>
                <c:pt idx="15">
                  <c:v>Peduli Lingkungan</c:v>
                </c:pt>
                <c:pt idx="16">
                  <c:v>Peduli Sosial</c:v>
                </c:pt>
                <c:pt idx="17">
                  <c:v>Tanggung Jawab</c:v>
                </c:pt>
              </c:strCache>
            </c:strRef>
          </c:cat>
          <c:val>
            <c:numRef>
              <c:f>Sheet1!$C$2:$C$19</c:f>
              <c:numCache>
                <c:formatCode>General</c:formatCode>
                <c:ptCount val="18"/>
                <c:pt idx="0">
                  <c:v>1</c:v>
                </c:pt>
                <c:pt idx="1">
                  <c:v>1</c:v>
                </c:pt>
                <c:pt idx="2">
                  <c:v>0</c:v>
                </c:pt>
                <c:pt idx="3">
                  <c:v>0</c:v>
                </c:pt>
                <c:pt idx="4">
                  <c:v>1</c:v>
                </c:pt>
                <c:pt idx="5">
                  <c:v>5</c:v>
                </c:pt>
                <c:pt idx="6">
                  <c:v>0</c:v>
                </c:pt>
                <c:pt idx="7">
                  <c:v>1</c:v>
                </c:pt>
                <c:pt idx="8">
                  <c:v>1</c:v>
                </c:pt>
                <c:pt idx="9">
                  <c:v>19</c:v>
                </c:pt>
                <c:pt idx="10">
                  <c:v>2</c:v>
                </c:pt>
                <c:pt idx="11">
                  <c:v>0</c:v>
                </c:pt>
                <c:pt idx="12">
                  <c:v>9</c:v>
                </c:pt>
                <c:pt idx="13">
                  <c:v>0</c:v>
                </c:pt>
                <c:pt idx="14">
                  <c:v>0</c:v>
                </c:pt>
                <c:pt idx="15">
                  <c:v>0</c:v>
                </c:pt>
                <c:pt idx="16">
                  <c:v>1</c:v>
                </c:pt>
                <c:pt idx="17">
                  <c:v>1</c:v>
                </c:pt>
              </c:numCache>
            </c:numRef>
          </c:val>
        </c:ser>
        <c:ser>
          <c:idx val="2"/>
          <c:order val="2"/>
          <c:tx>
            <c:strRef>
              <c:f>Sheet1!$D$1</c:f>
              <c:strCache>
                <c:ptCount val="1"/>
                <c:pt idx="0">
                  <c:v>XI Semester 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Religius</c:v>
                </c:pt>
                <c:pt idx="1">
                  <c:v>Jujur</c:v>
                </c:pt>
                <c:pt idx="2">
                  <c:v>Toleransi</c:v>
                </c:pt>
                <c:pt idx="3">
                  <c:v>Disiplin</c:v>
                </c:pt>
                <c:pt idx="4">
                  <c:v>Kerja Keras</c:v>
                </c:pt>
                <c:pt idx="5">
                  <c:v>Kreatif</c:v>
                </c:pt>
                <c:pt idx="6">
                  <c:v>Mandiri</c:v>
                </c:pt>
                <c:pt idx="7">
                  <c:v>Demokratis</c:v>
                </c:pt>
                <c:pt idx="8">
                  <c:v>Rasa Ingin Tahu</c:v>
                </c:pt>
                <c:pt idx="9">
                  <c:v>Semangat Kebangsaan</c:v>
                </c:pt>
                <c:pt idx="10">
                  <c:v>Cinta Tanah Air</c:v>
                </c:pt>
                <c:pt idx="11">
                  <c:v>Menghargai Prestasi</c:v>
                </c:pt>
                <c:pt idx="12">
                  <c:v>Bersahabat/Komunikatif</c:v>
                </c:pt>
                <c:pt idx="13">
                  <c:v>Cinta Damai</c:v>
                </c:pt>
                <c:pt idx="14">
                  <c:v>Gemar Membaca</c:v>
                </c:pt>
                <c:pt idx="15">
                  <c:v>Peduli Lingkungan</c:v>
                </c:pt>
                <c:pt idx="16">
                  <c:v>Peduli Sosial</c:v>
                </c:pt>
                <c:pt idx="17">
                  <c:v>Tanggung Jawab</c:v>
                </c:pt>
              </c:strCache>
            </c:strRef>
          </c:cat>
          <c:val>
            <c:numRef>
              <c:f>Sheet1!$D$2:$D$19</c:f>
              <c:numCache>
                <c:formatCode>General</c:formatCode>
                <c:ptCount val="18"/>
                <c:pt idx="0">
                  <c:v>1</c:v>
                </c:pt>
                <c:pt idx="1">
                  <c:v>0</c:v>
                </c:pt>
                <c:pt idx="2">
                  <c:v>0</c:v>
                </c:pt>
                <c:pt idx="3">
                  <c:v>0</c:v>
                </c:pt>
                <c:pt idx="4">
                  <c:v>0</c:v>
                </c:pt>
                <c:pt idx="5">
                  <c:v>0</c:v>
                </c:pt>
                <c:pt idx="6">
                  <c:v>0</c:v>
                </c:pt>
                <c:pt idx="7">
                  <c:v>0</c:v>
                </c:pt>
                <c:pt idx="8">
                  <c:v>0</c:v>
                </c:pt>
                <c:pt idx="9">
                  <c:v>5</c:v>
                </c:pt>
                <c:pt idx="10">
                  <c:v>0</c:v>
                </c:pt>
                <c:pt idx="11">
                  <c:v>1</c:v>
                </c:pt>
                <c:pt idx="12">
                  <c:v>7</c:v>
                </c:pt>
                <c:pt idx="13">
                  <c:v>0</c:v>
                </c:pt>
                <c:pt idx="14">
                  <c:v>0</c:v>
                </c:pt>
                <c:pt idx="15">
                  <c:v>0</c:v>
                </c:pt>
                <c:pt idx="16">
                  <c:v>1</c:v>
                </c:pt>
                <c:pt idx="17">
                  <c:v>1</c:v>
                </c:pt>
              </c:numCache>
            </c:numRef>
          </c:val>
        </c:ser>
        <c:ser>
          <c:idx val="3"/>
          <c:order val="3"/>
          <c:tx>
            <c:strRef>
              <c:f>Sheet1!$E$1</c:f>
              <c:strCache>
                <c:ptCount val="1"/>
                <c:pt idx="0">
                  <c:v>XII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Sheet1!$A$2:$A$19</c:f>
              <c:strCache>
                <c:ptCount val="18"/>
                <c:pt idx="0">
                  <c:v>Religius</c:v>
                </c:pt>
                <c:pt idx="1">
                  <c:v>Jujur</c:v>
                </c:pt>
                <c:pt idx="2">
                  <c:v>Toleransi</c:v>
                </c:pt>
                <c:pt idx="3">
                  <c:v>Disiplin</c:v>
                </c:pt>
                <c:pt idx="4">
                  <c:v>Kerja Keras</c:v>
                </c:pt>
                <c:pt idx="5">
                  <c:v>Kreatif</c:v>
                </c:pt>
                <c:pt idx="6">
                  <c:v>Mandiri</c:v>
                </c:pt>
                <c:pt idx="7">
                  <c:v>Demokratis</c:v>
                </c:pt>
                <c:pt idx="8">
                  <c:v>Rasa Ingin Tahu</c:v>
                </c:pt>
                <c:pt idx="9">
                  <c:v>Semangat Kebangsaan</c:v>
                </c:pt>
                <c:pt idx="10">
                  <c:v>Cinta Tanah Air</c:v>
                </c:pt>
                <c:pt idx="11">
                  <c:v>Menghargai Prestasi</c:v>
                </c:pt>
                <c:pt idx="12">
                  <c:v>Bersahabat/Komunikatif</c:v>
                </c:pt>
                <c:pt idx="13">
                  <c:v>Cinta Damai</c:v>
                </c:pt>
                <c:pt idx="14">
                  <c:v>Gemar Membaca</c:v>
                </c:pt>
                <c:pt idx="15">
                  <c:v>Peduli Lingkungan</c:v>
                </c:pt>
                <c:pt idx="16">
                  <c:v>Peduli Sosial</c:v>
                </c:pt>
                <c:pt idx="17">
                  <c:v>Tanggung Jawab</c:v>
                </c:pt>
              </c:strCache>
            </c:strRef>
          </c:cat>
          <c:val>
            <c:numRef>
              <c:f>Sheet1!$E$2:$E$19</c:f>
              <c:numCache>
                <c:formatCode>General</c:formatCode>
                <c:ptCount val="18"/>
                <c:pt idx="0">
                  <c:v>0</c:v>
                </c:pt>
                <c:pt idx="1">
                  <c:v>0</c:v>
                </c:pt>
                <c:pt idx="2">
                  <c:v>2</c:v>
                </c:pt>
                <c:pt idx="3">
                  <c:v>0</c:v>
                </c:pt>
                <c:pt idx="4">
                  <c:v>1</c:v>
                </c:pt>
                <c:pt idx="5">
                  <c:v>0</c:v>
                </c:pt>
                <c:pt idx="6">
                  <c:v>0</c:v>
                </c:pt>
                <c:pt idx="7">
                  <c:v>2</c:v>
                </c:pt>
                <c:pt idx="8">
                  <c:v>0</c:v>
                </c:pt>
                <c:pt idx="9">
                  <c:v>3</c:v>
                </c:pt>
                <c:pt idx="10">
                  <c:v>4</c:v>
                </c:pt>
                <c:pt idx="11">
                  <c:v>1</c:v>
                </c:pt>
                <c:pt idx="12">
                  <c:v>4</c:v>
                </c:pt>
                <c:pt idx="13">
                  <c:v>0</c:v>
                </c:pt>
                <c:pt idx="14">
                  <c:v>0</c:v>
                </c:pt>
                <c:pt idx="15">
                  <c:v>0</c:v>
                </c:pt>
                <c:pt idx="16">
                  <c:v>0</c:v>
                </c:pt>
                <c:pt idx="17">
                  <c:v>1</c:v>
                </c:pt>
              </c:numCache>
            </c:numRef>
          </c:val>
        </c:ser>
        <c:dLbls>
          <c:showLegendKey val="0"/>
          <c:showVal val="0"/>
          <c:showCatName val="0"/>
          <c:showSerName val="0"/>
          <c:showPercent val="0"/>
          <c:showBubbleSize val="0"/>
        </c:dLbls>
        <c:gapWidth val="115"/>
        <c:overlap val="-20"/>
        <c:axId val="336737888"/>
        <c:axId val="336738672"/>
      </c:barChart>
      <c:catAx>
        <c:axId val="3367378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6738672"/>
        <c:crosses val="autoZero"/>
        <c:auto val="1"/>
        <c:lblAlgn val="ctr"/>
        <c:lblOffset val="100"/>
        <c:noMultiLvlLbl val="0"/>
      </c:catAx>
      <c:valAx>
        <c:axId val="336738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673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E8DD72-A40E-4112-BADD-02AC1AE3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10600</Words>
  <Characters>60421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HP</cp:lastModifiedBy>
  <cp:revision>3</cp:revision>
  <dcterms:created xsi:type="dcterms:W3CDTF">2020-07-29T06:22:00Z</dcterms:created>
  <dcterms:modified xsi:type="dcterms:W3CDTF">2020-07-29T06:29:00Z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6761fd1f-e515-35c7-804e-df8c3e25deda</vt:lpwstr>
  </property>
  <property fmtid="{D5CDD505-2E9C-101B-9397-08002B2CF9AE}" pid="24" name="Mendeley Citation Style_1">
    <vt:lpwstr>http://www.zotero.org/styles/ieee</vt:lpwstr>
  </property>
</Properties>
</file>