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804671C" w14:textId="4475C450" w:rsidR="00772702" w:rsidRPr="00772702" w:rsidRDefault="00772702" w:rsidP="00B17912">
      <w:pPr>
        <w:keepNext/>
        <w:keepLines/>
        <w:tabs>
          <w:tab w:val="left" w:pos="284"/>
        </w:tabs>
        <w:spacing w:after="460"/>
        <w:jc w:val="center"/>
        <w:rPr>
          <w:b/>
          <w:sz w:val="32"/>
          <w:szCs w:val="32"/>
          <w:lang w:val="en-US"/>
        </w:rPr>
      </w:pPr>
      <w:r w:rsidRPr="00772702">
        <w:rPr>
          <w:b/>
          <w:sz w:val="32"/>
          <w:szCs w:val="32"/>
          <w:lang w:val="en-US"/>
        </w:rPr>
        <w:t>The Communication Efforts to Build New Normal Era Tourism Awareness by the Indonesian Ministry of Tourism and Creative Economy through the Media</w:t>
      </w:r>
    </w:p>
    <w:p w14:paraId="3652C52C" w14:textId="6E613F64" w:rsidR="00274BE6" w:rsidRPr="0042530D" w:rsidRDefault="00382CB5">
      <w:pPr>
        <w:ind w:firstLine="227"/>
        <w:jc w:val="center"/>
      </w:pPr>
      <w:r>
        <w:rPr>
          <w:rFonts w:eastAsia="Times"/>
        </w:rPr>
        <w:t>H. A.</w:t>
      </w:r>
      <w:r w:rsidRPr="00382CB5">
        <w:rPr>
          <w:rFonts w:eastAsia="Times"/>
        </w:rPr>
        <w:t xml:space="preserve"> Nova</w:t>
      </w:r>
      <w:r w:rsidRPr="00382CB5">
        <w:rPr>
          <w:rFonts w:eastAsia="Times"/>
          <w:vertAlign w:val="superscript"/>
        </w:rPr>
        <w:t>1</w:t>
      </w:r>
      <w:r w:rsidRPr="00382CB5">
        <w:rPr>
          <w:rFonts w:eastAsia="Times"/>
        </w:rPr>
        <w:t xml:space="preserve">, </w:t>
      </w:r>
      <w:r>
        <w:rPr>
          <w:rFonts w:eastAsia="Times"/>
        </w:rPr>
        <w:t>A.N.</w:t>
      </w:r>
      <w:r w:rsidRPr="00382CB5">
        <w:rPr>
          <w:rFonts w:eastAsia="Times"/>
        </w:rPr>
        <w:t xml:space="preserve"> Rahmanto</w:t>
      </w:r>
      <w:r w:rsidRPr="00382CB5">
        <w:rPr>
          <w:rFonts w:eastAsia="Times"/>
          <w:vertAlign w:val="superscript"/>
        </w:rPr>
        <w:t>2</w:t>
      </w:r>
      <w:r w:rsidRPr="00382CB5">
        <w:rPr>
          <w:rFonts w:eastAsia="Times"/>
        </w:rPr>
        <w:t>, Sudarmo</w:t>
      </w:r>
      <w:r w:rsidRPr="00382CB5">
        <w:rPr>
          <w:rFonts w:eastAsia="Times"/>
          <w:vertAlign w:val="superscript"/>
        </w:rPr>
        <w:t>3</w:t>
      </w:r>
    </w:p>
    <w:p w14:paraId="2062F93C" w14:textId="6831DA59" w:rsidR="00274BE6" w:rsidRPr="009809A4" w:rsidRDefault="00925304" w:rsidP="00925304">
      <w:pPr>
        <w:ind w:left="1440"/>
        <w:rPr>
          <w:lang w:val="en-US"/>
        </w:rPr>
      </w:pPr>
      <w:r w:rsidRPr="00925304">
        <w:rPr>
          <w:rFonts w:eastAsia="Times"/>
          <w:sz w:val="18"/>
          <w:szCs w:val="18"/>
        </w:rPr>
        <w:t>hikmawankp@gmail.com</w:t>
      </w:r>
      <w:r w:rsidRPr="00925304">
        <w:rPr>
          <w:rFonts w:eastAsia="Times"/>
          <w:sz w:val="18"/>
          <w:szCs w:val="18"/>
          <w:vertAlign w:val="superscript"/>
        </w:rPr>
        <w:t>1</w:t>
      </w:r>
      <w:r w:rsidRPr="00925304">
        <w:rPr>
          <w:rFonts w:eastAsia="Times"/>
          <w:sz w:val="18"/>
          <w:szCs w:val="18"/>
        </w:rPr>
        <w:t>, andre@staff.uns.ac.id</w:t>
      </w:r>
      <w:r w:rsidRPr="00925304">
        <w:rPr>
          <w:rFonts w:eastAsia="Times"/>
          <w:sz w:val="18"/>
          <w:szCs w:val="18"/>
          <w:vertAlign w:val="superscript"/>
        </w:rPr>
        <w:t>2</w:t>
      </w:r>
      <w:r w:rsidRPr="00925304">
        <w:rPr>
          <w:rFonts w:eastAsia="Times"/>
          <w:sz w:val="18"/>
          <w:szCs w:val="18"/>
        </w:rPr>
        <w:t>, sudarmo63@yahoo.com</w:t>
      </w:r>
      <w:r>
        <w:rPr>
          <w:rFonts w:eastAsia="Times"/>
          <w:sz w:val="18"/>
          <w:szCs w:val="18"/>
          <w:vertAlign w:val="superscript"/>
        </w:rPr>
        <w:t>3</w:t>
      </w:r>
    </w:p>
    <w:p w14:paraId="10003AE2" w14:textId="77777777" w:rsidR="00274BE6" w:rsidRPr="0042530D" w:rsidRDefault="00274BE6">
      <w:pPr>
        <w:ind w:firstLine="227"/>
        <w:jc w:val="center"/>
      </w:pPr>
    </w:p>
    <w:p w14:paraId="4A1286A1" w14:textId="59086985" w:rsidR="001130E0" w:rsidRPr="00A02C14" w:rsidRDefault="001130E0" w:rsidP="001130E0">
      <w:pPr>
        <w:autoSpaceDE w:val="0"/>
        <w:autoSpaceDN w:val="0"/>
        <w:adjustRightInd w:val="0"/>
        <w:jc w:val="both"/>
        <w:rPr>
          <w:i/>
          <w:sz w:val="18"/>
          <w:szCs w:val="18"/>
          <w:lang w:val="en-IN" w:eastAsia="de-DE"/>
        </w:rPr>
      </w:pPr>
      <w:r w:rsidRPr="00A02C14">
        <w:rPr>
          <w:i/>
          <w:sz w:val="18"/>
          <w:szCs w:val="18"/>
          <w:lang w:val="en-IN" w:eastAsia="de-DE"/>
        </w:rPr>
        <w:t xml:space="preserve">Master of Communication Study Program of Faculty of Social and Political Sciences of </w:t>
      </w:r>
      <w:proofErr w:type="spellStart"/>
      <w:r w:rsidR="00895B59">
        <w:rPr>
          <w:i/>
          <w:sz w:val="18"/>
          <w:szCs w:val="18"/>
          <w:lang w:val="en-IN" w:eastAsia="de-DE"/>
        </w:rPr>
        <w:t>Sebelas</w:t>
      </w:r>
      <w:proofErr w:type="spellEnd"/>
      <w:r w:rsidR="00895B59">
        <w:rPr>
          <w:i/>
          <w:sz w:val="18"/>
          <w:szCs w:val="18"/>
          <w:lang w:val="en-IN" w:eastAsia="de-DE"/>
        </w:rPr>
        <w:t xml:space="preserve"> </w:t>
      </w:r>
      <w:proofErr w:type="spellStart"/>
      <w:r w:rsidR="00895B59">
        <w:rPr>
          <w:i/>
          <w:sz w:val="18"/>
          <w:szCs w:val="18"/>
          <w:lang w:val="en-IN" w:eastAsia="de-DE"/>
        </w:rPr>
        <w:t>Maret</w:t>
      </w:r>
      <w:proofErr w:type="spellEnd"/>
      <w:r w:rsidR="00895B59">
        <w:rPr>
          <w:i/>
          <w:sz w:val="18"/>
          <w:szCs w:val="18"/>
          <w:lang w:val="en-IN" w:eastAsia="de-DE"/>
        </w:rPr>
        <w:t xml:space="preserve"> University</w:t>
      </w:r>
      <w:r w:rsidRPr="00A02C14">
        <w:rPr>
          <w:i/>
          <w:sz w:val="18"/>
          <w:szCs w:val="18"/>
          <w:lang w:val="en-IN" w:eastAsia="de-DE"/>
        </w:rPr>
        <w:t>, Surakarta, Indonesia</w:t>
      </w:r>
      <w:r w:rsidRPr="00A02C14">
        <w:rPr>
          <w:rFonts w:eastAsia="Times"/>
          <w:sz w:val="18"/>
          <w:szCs w:val="18"/>
          <w:vertAlign w:val="superscript"/>
        </w:rPr>
        <w:t>1</w:t>
      </w:r>
    </w:p>
    <w:p w14:paraId="43C39CA3" w14:textId="444742B1" w:rsidR="001130E0" w:rsidRPr="00A02C14" w:rsidRDefault="001130E0" w:rsidP="001130E0">
      <w:pPr>
        <w:autoSpaceDE w:val="0"/>
        <w:autoSpaceDN w:val="0"/>
        <w:adjustRightInd w:val="0"/>
        <w:jc w:val="both"/>
        <w:rPr>
          <w:i/>
          <w:sz w:val="18"/>
          <w:szCs w:val="18"/>
          <w:lang w:val="en-IN"/>
        </w:rPr>
      </w:pPr>
      <w:r w:rsidRPr="00A02C14">
        <w:rPr>
          <w:i/>
          <w:sz w:val="18"/>
          <w:szCs w:val="18"/>
          <w:lang w:val="en-IN"/>
        </w:rPr>
        <w:t xml:space="preserve">Faculty of Social and Political Sciences of </w:t>
      </w:r>
      <w:proofErr w:type="spellStart"/>
      <w:r w:rsidR="00560A45">
        <w:rPr>
          <w:i/>
          <w:sz w:val="18"/>
          <w:szCs w:val="18"/>
          <w:lang w:val="en-IN" w:eastAsia="de-DE"/>
        </w:rPr>
        <w:t>Sebelas</w:t>
      </w:r>
      <w:proofErr w:type="spellEnd"/>
      <w:r w:rsidR="00560A45">
        <w:rPr>
          <w:i/>
          <w:sz w:val="18"/>
          <w:szCs w:val="18"/>
          <w:lang w:val="en-IN" w:eastAsia="de-DE"/>
        </w:rPr>
        <w:t xml:space="preserve"> </w:t>
      </w:r>
      <w:proofErr w:type="spellStart"/>
      <w:r w:rsidR="00560A45">
        <w:rPr>
          <w:i/>
          <w:sz w:val="18"/>
          <w:szCs w:val="18"/>
          <w:lang w:val="en-IN" w:eastAsia="de-DE"/>
        </w:rPr>
        <w:t>Maret</w:t>
      </w:r>
      <w:proofErr w:type="spellEnd"/>
      <w:r w:rsidR="00560A45">
        <w:rPr>
          <w:i/>
          <w:sz w:val="18"/>
          <w:szCs w:val="18"/>
          <w:lang w:val="en-IN" w:eastAsia="de-DE"/>
        </w:rPr>
        <w:t xml:space="preserve"> University</w:t>
      </w:r>
      <w:r w:rsidRPr="00A02C14">
        <w:rPr>
          <w:i/>
          <w:sz w:val="18"/>
          <w:szCs w:val="18"/>
          <w:lang w:val="en-IN"/>
        </w:rPr>
        <w:t>, Surakarta, Indonesia</w:t>
      </w:r>
      <w:r w:rsidRPr="00A02C14">
        <w:rPr>
          <w:rFonts w:eastAsia="Times"/>
          <w:sz w:val="18"/>
          <w:szCs w:val="18"/>
          <w:vertAlign w:val="superscript"/>
        </w:rPr>
        <w:t>2</w:t>
      </w:r>
    </w:p>
    <w:p w14:paraId="73DF9989" w14:textId="23385CA7" w:rsidR="00274BE6" w:rsidRPr="0042530D" w:rsidRDefault="001130E0" w:rsidP="001130E0">
      <w:r w:rsidRPr="00A02C14">
        <w:rPr>
          <w:i/>
          <w:sz w:val="18"/>
          <w:szCs w:val="18"/>
          <w:lang w:val="en-IN"/>
        </w:rPr>
        <w:t xml:space="preserve">Faculty of Social and Political Sciences of </w:t>
      </w:r>
      <w:proofErr w:type="spellStart"/>
      <w:r w:rsidR="00A66DA0">
        <w:rPr>
          <w:i/>
          <w:sz w:val="18"/>
          <w:szCs w:val="18"/>
          <w:lang w:val="en-IN" w:eastAsia="de-DE"/>
        </w:rPr>
        <w:t>Sebelas</w:t>
      </w:r>
      <w:proofErr w:type="spellEnd"/>
      <w:r w:rsidR="00A66DA0">
        <w:rPr>
          <w:i/>
          <w:sz w:val="18"/>
          <w:szCs w:val="18"/>
          <w:lang w:val="en-IN" w:eastAsia="de-DE"/>
        </w:rPr>
        <w:t xml:space="preserve"> </w:t>
      </w:r>
      <w:proofErr w:type="spellStart"/>
      <w:r w:rsidR="00A66DA0">
        <w:rPr>
          <w:i/>
          <w:sz w:val="18"/>
          <w:szCs w:val="18"/>
          <w:lang w:val="en-IN" w:eastAsia="de-DE"/>
        </w:rPr>
        <w:t>Maret</w:t>
      </w:r>
      <w:proofErr w:type="spellEnd"/>
      <w:r w:rsidR="00A66DA0">
        <w:rPr>
          <w:i/>
          <w:sz w:val="18"/>
          <w:szCs w:val="18"/>
          <w:lang w:val="en-IN" w:eastAsia="de-DE"/>
        </w:rPr>
        <w:t xml:space="preserve"> University</w:t>
      </w:r>
      <w:r w:rsidRPr="00A02C14">
        <w:rPr>
          <w:i/>
          <w:sz w:val="18"/>
          <w:szCs w:val="18"/>
          <w:lang w:val="en-IN"/>
        </w:rPr>
        <w:t>, Surakarta, Indonesia</w:t>
      </w:r>
      <w:r w:rsidRPr="00A02C14">
        <w:rPr>
          <w:rFonts w:eastAsia="Times"/>
          <w:sz w:val="18"/>
          <w:szCs w:val="18"/>
          <w:vertAlign w:val="superscript"/>
        </w:rPr>
        <w:t>3</w:t>
      </w:r>
    </w:p>
    <w:p w14:paraId="2566C0CC" w14:textId="1C438115" w:rsidR="00212380" w:rsidRPr="00212380" w:rsidRDefault="00212380" w:rsidP="00212380">
      <w:pPr>
        <w:spacing w:before="400" w:after="120"/>
        <w:ind w:left="567" w:right="567"/>
        <w:jc w:val="both"/>
        <w:rPr>
          <w:rFonts w:eastAsia="Times"/>
          <w:sz w:val="18"/>
          <w:szCs w:val="18"/>
        </w:rPr>
      </w:pPr>
      <w:r w:rsidRPr="0042530D">
        <w:rPr>
          <w:rFonts w:eastAsia="Times"/>
          <w:b/>
          <w:sz w:val="18"/>
          <w:szCs w:val="18"/>
        </w:rPr>
        <w:t>Abstract.</w:t>
      </w:r>
      <w:r>
        <w:rPr>
          <w:rFonts w:eastAsia="Times"/>
          <w:b/>
          <w:sz w:val="18"/>
          <w:szCs w:val="18"/>
        </w:rPr>
        <w:t xml:space="preserve"> </w:t>
      </w:r>
      <w:r w:rsidRPr="00212380">
        <w:rPr>
          <w:rFonts w:eastAsia="Times"/>
          <w:sz w:val="18"/>
          <w:szCs w:val="18"/>
        </w:rPr>
        <w:t>The</w:t>
      </w:r>
      <w:r>
        <w:rPr>
          <w:rFonts w:eastAsia="Times"/>
          <w:b/>
          <w:sz w:val="18"/>
          <w:szCs w:val="18"/>
        </w:rPr>
        <w:t xml:space="preserve"> </w:t>
      </w:r>
      <w:r w:rsidRPr="00212380">
        <w:rPr>
          <w:rFonts w:eastAsia="Times"/>
          <w:sz w:val="18"/>
          <w:szCs w:val="18"/>
        </w:rPr>
        <w:t xml:space="preserve">efforts to rebuild </w:t>
      </w:r>
      <w:r w:rsidR="00394017">
        <w:rPr>
          <w:rFonts w:eastAsia="Times"/>
          <w:sz w:val="18"/>
          <w:szCs w:val="18"/>
        </w:rPr>
        <w:t xml:space="preserve">tourism </w:t>
      </w:r>
      <w:r w:rsidRPr="00212380">
        <w:rPr>
          <w:rFonts w:eastAsia="Times"/>
          <w:sz w:val="18"/>
          <w:szCs w:val="18"/>
        </w:rPr>
        <w:t xml:space="preserve">sectors in Indonesia destroyed by the arrival of the 2019 / Covid-19 corona virus disease novel pandemic since March 2020, </w:t>
      </w:r>
      <w:r w:rsidR="001E5EAC">
        <w:rPr>
          <w:rFonts w:eastAsia="Times"/>
          <w:sz w:val="18"/>
          <w:szCs w:val="18"/>
        </w:rPr>
        <w:t>include</w:t>
      </w:r>
      <w:r w:rsidRPr="00212380">
        <w:rPr>
          <w:rFonts w:eastAsia="Times"/>
          <w:sz w:val="18"/>
          <w:szCs w:val="18"/>
        </w:rPr>
        <w:t xml:space="preserve"> through communication of the implementation of special health protection protocols in the tourism and economic sectors driven by the Ministry of Tourism and Creative Economy</w:t>
      </w:r>
      <w:r w:rsidR="00117CAA">
        <w:rPr>
          <w:rFonts w:eastAsia="Times"/>
          <w:sz w:val="18"/>
          <w:szCs w:val="18"/>
        </w:rPr>
        <w:t>/Kemenparekraf RI</w:t>
      </w:r>
      <w:r w:rsidRPr="00212380">
        <w:rPr>
          <w:rFonts w:eastAsia="Times"/>
          <w:sz w:val="18"/>
          <w:szCs w:val="18"/>
        </w:rPr>
        <w:t>.</w:t>
      </w:r>
      <w:r w:rsidR="00117CAA">
        <w:rPr>
          <w:rFonts w:eastAsia="Times"/>
          <w:sz w:val="18"/>
          <w:szCs w:val="18"/>
        </w:rPr>
        <w:t xml:space="preserve"> </w:t>
      </w:r>
      <w:r w:rsidR="008364D0" w:rsidRPr="008364D0">
        <w:rPr>
          <w:rFonts w:eastAsia="Times"/>
          <w:sz w:val="18"/>
          <w:szCs w:val="18"/>
        </w:rPr>
        <w:t>The importance of communication efforts is carried out to build public awareness and industry players about tourism in the new normal era so that it is expected to stimulate tourism in the region, the positive implications of which can be felt through the wheels of the economy of the community around tourist destinations and ultimately sustainable tourism development can continue to be implemented.</w:t>
      </w:r>
      <w:r w:rsidR="001E5EAC">
        <w:rPr>
          <w:rFonts w:eastAsia="Times"/>
          <w:sz w:val="18"/>
          <w:szCs w:val="18"/>
        </w:rPr>
        <w:t xml:space="preserve"> The c</w:t>
      </w:r>
      <w:r w:rsidR="001E5EAC" w:rsidRPr="001E5EAC">
        <w:rPr>
          <w:rFonts w:eastAsia="Times"/>
          <w:sz w:val="18"/>
          <w:szCs w:val="18"/>
        </w:rPr>
        <w:t>ommunication efforts undertaken by Kemenparekraf include through a press release, which is distributed by the mass media so that it can be widely distributed in the public.</w:t>
      </w:r>
      <w:r w:rsidR="00920866">
        <w:rPr>
          <w:rFonts w:eastAsia="Times"/>
          <w:sz w:val="18"/>
          <w:szCs w:val="18"/>
        </w:rPr>
        <w:t xml:space="preserve"> </w:t>
      </w:r>
      <w:r w:rsidR="00920866" w:rsidRPr="00920866">
        <w:rPr>
          <w:rFonts w:eastAsia="Times"/>
          <w:sz w:val="18"/>
          <w:szCs w:val="18"/>
        </w:rPr>
        <w:t>This study uses the media framing theory and examines the use of press releases issued by the Ministry of Tourism and Creative Economy in June-July 2020, so that it can explain the communication efforts undertaken to build awareness of the Indonesian people about tourism during the pandemic.</w:t>
      </w:r>
    </w:p>
    <w:p w14:paraId="22C0D2BB" w14:textId="35AC9241" w:rsidR="00274BE6" w:rsidRPr="0042530D" w:rsidRDefault="008153B4">
      <w:pPr>
        <w:spacing w:before="400" w:after="120"/>
        <w:ind w:left="567" w:right="567"/>
        <w:jc w:val="both"/>
      </w:pPr>
      <w:r w:rsidRPr="0042530D">
        <w:rPr>
          <w:rFonts w:eastAsia="Times"/>
          <w:b/>
          <w:sz w:val="18"/>
          <w:szCs w:val="18"/>
        </w:rPr>
        <w:t xml:space="preserve">Keywords: </w:t>
      </w:r>
      <w:r w:rsidR="003D5441">
        <w:rPr>
          <w:rFonts w:eastAsia="Times"/>
          <w:sz w:val="18"/>
          <w:szCs w:val="18"/>
        </w:rPr>
        <w:t>c</w:t>
      </w:r>
      <w:r w:rsidR="0049004D" w:rsidRPr="0049004D">
        <w:rPr>
          <w:rFonts w:eastAsia="Times"/>
          <w:sz w:val="18"/>
          <w:szCs w:val="18"/>
        </w:rPr>
        <w:t xml:space="preserve">ovid-19, </w:t>
      </w:r>
      <w:r w:rsidR="0049004D">
        <w:rPr>
          <w:rFonts w:eastAsia="Times"/>
          <w:sz w:val="18"/>
          <w:szCs w:val="18"/>
        </w:rPr>
        <w:t>framing theory</w:t>
      </w:r>
      <w:r w:rsidR="0049004D" w:rsidRPr="0049004D">
        <w:rPr>
          <w:rFonts w:eastAsia="Times"/>
          <w:sz w:val="18"/>
          <w:szCs w:val="18"/>
        </w:rPr>
        <w:t xml:space="preserve">, communication, </w:t>
      </w:r>
      <w:r w:rsidR="002D2B4F">
        <w:rPr>
          <w:rFonts w:eastAsia="Times"/>
          <w:sz w:val="18"/>
          <w:szCs w:val="18"/>
        </w:rPr>
        <w:t>media</w:t>
      </w:r>
      <w:r w:rsidR="00DE7FC9">
        <w:rPr>
          <w:rFonts w:eastAsia="Times"/>
          <w:sz w:val="18"/>
          <w:szCs w:val="18"/>
        </w:rPr>
        <w:t>,</w:t>
      </w:r>
      <w:r w:rsidR="00B16237">
        <w:rPr>
          <w:rFonts w:eastAsia="Times"/>
          <w:sz w:val="18"/>
          <w:szCs w:val="18"/>
        </w:rPr>
        <w:t xml:space="preserve"> press release</w:t>
      </w:r>
      <w:r w:rsidRPr="0042530D">
        <w:rPr>
          <w:rFonts w:eastAsia="Times"/>
          <w:sz w:val="18"/>
          <w:szCs w:val="18"/>
        </w:rPr>
        <w:t>.</w:t>
      </w:r>
    </w:p>
    <w:p w14:paraId="5A611252" w14:textId="77777777" w:rsidR="00274BE6" w:rsidRPr="0042530D" w:rsidRDefault="008153B4">
      <w:pPr>
        <w:keepNext/>
        <w:keepLines/>
        <w:tabs>
          <w:tab w:val="left" w:pos="454"/>
        </w:tabs>
        <w:spacing w:before="520" w:after="280"/>
        <w:jc w:val="both"/>
      </w:pPr>
      <w:r w:rsidRPr="0042530D">
        <w:rPr>
          <w:rFonts w:eastAsia="Times"/>
          <w:b/>
          <w:sz w:val="24"/>
          <w:szCs w:val="24"/>
        </w:rPr>
        <w:t>1   Introduction</w:t>
      </w:r>
    </w:p>
    <w:p w14:paraId="5A209037" w14:textId="7F012069" w:rsidR="00894A56" w:rsidRDefault="00894A56" w:rsidP="00E31ECE">
      <w:pPr>
        <w:ind w:firstLine="360"/>
        <w:jc w:val="both"/>
        <w:rPr>
          <w:rFonts w:eastAsia="Times"/>
        </w:rPr>
      </w:pPr>
      <w:r w:rsidRPr="00894A56">
        <w:rPr>
          <w:rFonts w:eastAsia="Times"/>
        </w:rPr>
        <w:t>The pandemic novel corona virus disease 2019 / Covid-19 in Indonesia was officially present on March 2, 2020 when it was announced by the President of the Republic of Indonesia Joko Widodo at the State Palace in Jakarta with two people being the first sufferers [1].</w:t>
      </w:r>
      <w:r>
        <w:rPr>
          <w:rFonts w:eastAsia="Times"/>
        </w:rPr>
        <w:t xml:space="preserve"> </w:t>
      </w:r>
      <w:r w:rsidR="00EC06E2">
        <w:rPr>
          <w:rFonts w:eastAsia="Times"/>
        </w:rPr>
        <w:br/>
      </w:r>
      <w:r w:rsidRPr="00894A56">
        <w:rPr>
          <w:rFonts w:eastAsia="Times"/>
        </w:rPr>
        <w:t>Since then, the number of positive sufferers has continued to rise and based on the official government website related to Covid-19 information, namely www.covid19.go.id, until July 27, 2020 the number has reached 100,303 positive patients, with 58,173 patients recovering, and 4,838 patients died [2].</w:t>
      </w:r>
      <w:r w:rsidR="00EC06E2">
        <w:rPr>
          <w:rFonts w:eastAsia="Times"/>
        </w:rPr>
        <w:t xml:space="preserve"> </w:t>
      </w:r>
      <w:r w:rsidR="00EC06E2" w:rsidRPr="00EC06E2">
        <w:rPr>
          <w:rFonts w:eastAsia="Times"/>
        </w:rPr>
        <w:t>This figure is in fact a sign of economic collapse in the community, and directly Covid-19 has a very big impact in terms of health, economic, social, and cultural.</w:t>
      </w:r>
      <w:r w:rsidR="00EC06E2">
        <w:rPr>
          <w:rFonts w:eastAsia="Times"/>
        </w:rPr>
        <w:t xml:space="preserve"> </w:t>
      </w:r>
      <w:r w:rsidR="00EC06E2" w:rsidRPr="00EC06E2">
        <w:rPr>
          <w:rFonts w:eastAsia="Times"/>
        </w:rPr>
        <w:t>Tourism, which has become one of the largest contributors to the country's foreign exchange earner, labor producers, and is closely linked to sustainable development goals, is the most affected sector</w:t>
      </w:r>
      <w:r w:rsidR="00EC06E2">
        <w:rPr>
          <w:rFonts w:eastAsia="Times"/>
        </w:rPr>
        <w:t xml:space="preserve">. </w:t>
      </w:r>
      <w:r w:rsidR="00EE4685" w:rsidRPr="00EE4685">
        <w:rPr>
          <w:rFonts w:eastAsia="Times"/>
        </w:rPr>
        <w:t xml:space="preserve">Data shows that in 2019 the tourism sector succeeded in bringing in foreign exchange of 280 trillion, attracting 16 million foreign tourists, contributing to the national GDP </w:t>
      </w:r>
      <w:r w:rsidR="00EE4685" w:rsidRPr="00EE4685">
        <w:rPr>
          <w:rFonts w:eastAsia="Times"/>
        </w:rPr>
        <w:lastRenderedPageBreak/>
        <w:t>of 5.5%, and absorbing a workforce of 13 million [3].</w:t>
      </w:r>
      <w:r w:rsidR="00EE4685">
        <w:rPr>
          <w:rFonts w:eastAsia="Times"/>
        </w:rPr>
        <w:t xml:space="preserve"> </w:t>
      </w:r>
      <w:r w:rsidR="00EE4685" w:rsidRPr="00EE4685">
        <w:rPr>
          <w:rFonts w:eastAsia="Times"/>
        </w:rPr>
        <w:t>Since the Covid-19 pandemic came to Indonesia, the impact of the tourism sector has been felt since the international world to restrict flights in early 2020, the tourism sector has declined dramatically where the arrival of foreign tourists in February and March 2020 based on data from BPS for February 2020 only there were 864 thousand people coming to Indonesia compared to 1.24 million people in February 2019 and in March 2020 there were 470 thousand foreign tourists compared to 1.31 million in March 2019, or in conclusion the foreign tourist arrivals in</w:t>
      </w:r>
      <w:r w:rsidR="00BC0E7B">
        <w:rPr>
          <w:rFonts w:eastAsia="Times"/>
        </w:rPr>
        <w:t xml:space="preserve"> January-March 2020 fell by 30,</w:t>
      </w:r>
      <w:r w:rsidR="00EE4685" w:rsidRPr="00EE4685">
        <w:rPr>
          <w:rFonts w:eastAsia="Times"/>
        </w:rPr>
        <w:t>62% compared to January-March 2019 [4].</w:t>
      </w:r>
    </w:p>
    <w:p w14:paraId="6A93772C" w14:textId="77777777" w:rsidR="00C848EC" w:rsidRDefault="00C848EC" w:rsidP="00E31ECE">
      <w:pPr>
        <w:ind w:firstLine="360"/>
        <w:jc w:val="both"/>
        <w:rPr>
          <w:rFonts w:eastAsia="Times"/>
        </w:rPr>
      </w:pPr>
    </w:p>
    <w:p w14:paraId="3EC7D2FB" w14:textId="2C858956" w:rsidR="00642334" w:rsidRDefault="00642334" w:rsidP="00642334">
      <w:pPr>
        <w:jc w:val="center"/>
        <w:rPr>
          <w:rFonts w:eastAsia="Times"/>
        </w:rPr>
      </w:pPr>
      <w:r w:rsidRPr="00C848EC">
        <w:rPr>
          <w:rFonts w:eastAsia="Times"/>
        </w:rPr>
        <w:t xml:space="preserve">FIGURE </w:t>
      </w:r>
      <w:r>
        <w:rPr>
          <w:rFonts w:eastAsia="Times"/>
        </w:rPr>
        <w:t>1</w:t>
      </w:r>
      <w:r w:rsidRPr="00C848EC">
        <w:rPr>
          <w:rFonts w:eastAsia="Times"/>
        </w:rPr>
        <w:t xml:space="preserve">. </w:t>
      </w:r>
      <w:r>
        <w:rPr>
          <w:rFonts w:eastAsia="Times"/>
        </w:rPr>
        <w:t xml:space="preserve">The </w:t>
      </w:r>
      <w:r w:rsidRPr="00642334">
        <w:rPr>
          <w:rFonts w:eastAsia="Times"/>
        </w:rPr>
        <w:t>Graph of foreign tourists visiting Indonesia</w:t>
      </w:r>
    </w:p>
    <w:p w14:paraId="12F5B15E" w14:textId="77777777" w:rsidR="00642334" w:rsidRDefault="00642334" w:rsidP="00642334">
      <w:pPr>
        <w:jc w:val="both"/>
        <w:rPr>
          <w:rFonts w:eastAsia="Times"/>
        </w:rPr>
      </w:pPr>
      <w:r>
        <w:rPr>
          <w:noProof/>
          <w:lang w:val="en-US" w:eastAsia="en-US"/>
        </w:rPr>
        <w:drawing>
          <wp:inline distT="0" distB="0" distL="0" distR="0" wp14:anchorId="45BA8DBC" wp14:editId="20DC32DA">
            <wp:extent cx="4824095" cy="13912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4095" cy="1391285"/>
                    </a:xfrm>
                    <a:prstGeom prst="rect">
                      <a:avLst/>
                    </a:prstGeom>
                  </pic:spPr>
                </pic:pic>
              </a:graphicData>
            </a:graphic>
          </wp:inline>
        </w:drawing>
      </w:r>
    </w:p>
    <w:p w14:paraId="76A226E1" w14:textId="77777777" w:rsidR="00642334" w:rsidRDefault="00642334" w:rsidP="00642334">
      <w:pPr>
        <w:jc w:val="center"/>
        <w:rPr>
          <w:rFonts w:eastAsia="Times"/>
        </w:rPr>
      </w:pPr>
      <w:r w:rsidRPr="00291058">
        <w:rPr>
          <w:rFonts w:eastAsia="Times"/>
        </w:rPr>
        <w:t xml:space="preserve">Source: </w:t>
      </w:r>
      <w:r>
        <w:rPr>
          <w:rFonts w:eastAsia="Times"/>
        </w:rPr>
        <w:t>Bappenas RI, 2020</w:t>
      </w:r>
    </w:p>
    <w:p w14:paraId="565B2FD2" w14:textId="77777777" w:rsidR="00642334" w:rsidRDefault="00642334" w:rsidP="00E31ECE">
      <w:pPr>
        <w:ind w:firstLine="360"/>
        <w:jc w:val="both"/>
        <w:rPr>
          <w:rFonts w:eastAsia="Times"/>
        </w:rPr>
      </w:pPr>
    </w:p>
    <w:p w14:paraId="4983A519" w14:textId="0F96DCAC" w:rsidR="00680F27" w:rsidRDefault="00680F27" w:rsidP="00E31ECE">
      <w:pPr>
        <w:ind w:firstLine="360"/>
        <w:jc w:val="both"/>
        <w:rPr>
          <w:rFonts w:eastAsia="Times"/>
        </w:rPr>
      </w:pPr>
      <w:r w:rsidRPr="00680F27">
        <w:rPr>
          <w:rFonts w:eastAsia="Times"/>
        </w:rPr>
        <w:t>In addition, the immediate impact felt by the community is on tourism-related jobs such as travel services, travel and public transportation drivers, accommodation services, culinary, recreation areas, shopping centers and small and medium-sized businesses related to tourism.</w:t>
      </w:r>
      <w:r w:rsidR="00282695">
        <w:rPr>
          <w:rFonts w:eastAsia="Times"/>
        </w:rPr>
        <w:t xml:space="preserve"> </w:t>
      </w:r>
      <w:r w:rsidR="00282695" w:rsidRPr="00282695">
        <w:rPr>
          <w:rFonts w:eastAsia="Times"/>
        </w:rPr>
        <w:t>These perceived impacts require a response from the Government of Indonesia, which is now entering a new normal era that requires people to live with strict health protocols.</w:t>
      </w:r>
    </w:p>
    <w:p w14:paraId="0E6879EE" w14:textId="3FF110C1" w:rsidR="00615EEE" w:rsidRDefault="0042280C" w:rsidP="00A224E9">
      <w:pPr>
        <w:ind w:firstLine="360"/>
        <w:jc w:val="both"/>
        <w:rPr>
          <w:rFonts w:eastAsia="Times"/>
        </w:rPr>
      </w:pPr>
      <w:r w:rsidRPr="0042280C">
        <w:rPr>
          <w:rFonts w:eastAsia="Times"/>
        </w:rPr>
        <w:t>The Government of the Republic of Indonesia through the Ministry of Health issued a policy on implementing health protocols specifically for the tourism sector and the creative economy compiled by the Ministry of Tourism and Creative Economy (Kemenparekraf) together with relevant stakeholders on 22 June 2020 [5].</w:t>
      </w:r>
      <w:r>
        <w:rPr>
          <w:rFonts w:eastAsia="Times"/>
        </w:rPr>
        <w:t xml:space="preserve"> </w:t>
      </w:r>
      <w:r w:rsidRPr="0042280C">
        <w:rPr>
          <w:rFonts w:eastAsia="Times"/>
        </w:rPr>
        <w:t>With the presence of the policy, one of the heavy tasks is to carry out the communication efforts in building awareness from the public and industry players about tourism in the new normal era by using health protocols so that it is expected to be able to re-stimulate tourism in various regions, the positive implications of which can be felt through the wheels of the economy communities around tourist destinations and ultimately sustainable tourism development can continue.</w:t>
      </w:r>
      <w:r w:rsidR="0001438C">
        <w:rPr>
          <w:rFonts w:eastAsia="Times"/>
        </w:rPr>
        <w:t xml:space="preserve"> </w:t>
      </w:r>
      <w:r w:rsidR="0001438C" w:rsidRPr="0001438C">
        <w:rPr>
          <w:rFonts w:eastAsia="Times"/>
        </w:rPr>
        <w:t>One of the efforts of Kemenparekraf to communicate various programs and policies is through making official press releases to then be disseminated through mass media and social media both internal and external.</w:t>
      </w:r>
      <w:r w:rsidR="0001438C">
        <w:rPr>
          <w:rFonts w:eastAsia="Times"/>
        </w:rPr>
        <w:t xml:space="preserve"> </w:t>
      </w:r>
      <w:r w:rsidR="0001438C" w:rsidRPr="0001438C">
        <w:rPr>
          <w:rFonts w:eastAsia="Times"/>
        </w:rPr>
        <w:t>Through the spread of this information, it is hoped that the aims and targets of the program and policy can be achieved.</w:t>
      </w:r>
    </w:p>
    <w:p w14:paraId="3C5F2280" w14:textId="626DC5CF" w:rsidR="00D3474B" w:rsidRPr="003205A5" w:rsidRDefault="00D3474B" w:rsidP="00A45E51">
      <w:pPr>
        <w:ind w:firstLine="360"/>
        <w:jc w:val="both"/>
        <w:rPr>
          <w:lang w:val="en-US"/>
        </w:rPr>
      </w:pPr>
      <w:r w:rsidRPr="00D3474B">
        <w:rPr>
          <w:lang w:val="en-US"/>
        </w:rPr>
        <w:t>There were 95 press releases officially released by the Ministry of Tourism and Creative Economy at intervals from 22 June 2020 (since the special health protocol in the tourism sector and the creative economy was inaugurated) until 27 July 2020, and researchers analyzed the use of new normal era tourism themes and their application by the public and actors the tourism industry, so that it is expected to know the communication efforts made to build awareness of the Indonesian people about tourism in the pandemic by the Ministry of Tourism and Creative Economy.</w:t>
      </w:r>
      <w:r>
        <w:rPr>
          <w:lang w:val="en-US"/>
        </w:rPr>
        <w:t xml:space="preserve"> </w:t>
      </w:r>
      <w:r w:rsidRPr="00D3474B">
        <w:rPr>
          <w:lang w:val="en-US"/>
        </w:rPr>
        <w:t xml:space="preserve">The use of press releases is investigated because of its important function as a liaison with the public and the media, where press releases are a form of proactive communication to the public expressed by S. </w:t>
      </w:r>
      <w:proofErr w:type="spellStart"/>
      <w:r w:rsidRPr="00D3474B">
        <w:rPr>
          <w:lang w:val="en-US"/>
        </w:rPr>
        <w:t>Grimmelikhuijsen</w:t>
      </w:r>
      <w:proofErr w:type="spellEnd"/>
      <w:r w:rsidRPr="00D3474B">
        <w:rPr>
          <w:lang w:val="en-US"/>
        </w:rPr>
        <w:t xml:space="preserve">, F.D. </w:t>
      </w:r>
      <w:proofErr w:type="spellStart"/>
      <w:r w:rsidRPr="00D3474B">
        <w:rPr>
          <w:lang w:val="en-US"/>
        </w:rPr>
        <w:t>Vries</w:t>
      </w:r>
      <w:proofErr w:type="spellEnd"/>
      <w:r w:rsidRPr="00D3474B">
        <w:rPr>
          <w:lang w:val="en-US"/>
        </w:rPr>
        <w:t xml:space="preserve">, and W. </w:t>
      </w:r>
      <w:proofErr w:type="spellStart"/>
      <w:r w:rsidRPr="00D3474B">
        <w:rPr>
          <w:lang w:val="en-US"/>
        </w:rPr>
        <w:t>Zijlstra</w:t>
      </w:r>
      <w:proofErr w:type="spellEnd"/>
      <w:r w:rsidRPr="00D3474B">
        <w:rPr>
          <w:lang w:val="en-US"/>
        </w:rPr>
        <w:t xml:space="preserve"> in 2018 [6] and a tool </w:t>
      </w:r>
      <w:r w:rsidRPr="00D3474B">
        <w:rPr>
          <w:lang w:val="en-US"/>
        </w:rPr>
        <w:lastRenderedPageBreak/>
        <w:t>to imply social meaning by choosing the right words so that they can maintain healthy relations with the public by Ling in 2017 [7].</w:t>
      </w:r>
      <w:r>
        <w:rPr>
          <w:lang w:val="en-US"/>
        </w:rPr>
        <w:t xml:space="preserve"> </w:t>
      </w:r>
      <w:r w:rsidRPr="00D3474B">
        <w:rPr>
          <w:lang w:val="en-US"/>
        </w:rPr>
        <w:t>In addition, according to Morton &amp; Ramsey (1994) press releases are useful for publishing information from an organization, especially information that impacts or appeals to large groups of people [8].</w:t>
      </w:r>
      <w:r>
        <w:rPr>
          <w:lang w:val="en-US"/>
        </w:rPr>
        <w:t xml:space="preserve"> </w:t>
      </w:r>
      <w:r w:rsidR="00D17F11" w:rsidRPr="00D17F11">
        <w:rPr>
          <w:lang w:val="en-US"/>
        </w:rPr>
        <w:t>The importance of analyzing the press release is also due to the current function according to Gilpin (2008) which has become broader than just a means of communication with the public into the formation of organizational identity in the public eye through narrative efforts regarding events and organizational functions [9].</w:t>
      </w:r>
    </w:p>
    <w:p w14:paraId="3099AD01" w14:textId="2BBB635C" w:rsidR="00274BE6" w:rsidRPr="0042530D" w:rsidRDefault="008153B4">
      <w:pPr>
        <w:keepNext/>
        <w:keepLines/>
        <w:tabs>
          <w:tab w:val="left" w:pos="454"/>
        </w:tabs>
        <w:spacing w:before="520" w:after="280"/>
        <w:jc w:val="both"/>
      </w:pPr>
      <w:r w:rsidRPr="0042530D">
        <w:rPr>
          <w:rFonts w:eastAsia="Times"/>
          <w:b/>
          <w:sz w:val="24"/>
          <w:szCs w:val="24"/>
        </w:rPr>
        <w:t xml:space="preserve">2   </w:t>
      </w:r>
      <w:r w:rsidR="0056441C">
        <w:rPr>
          <w:rFonts w:eastAsia="Times"/>
          <w:b/>
          <w:sz w:val="24"/>
          <w:szCs w:val="24"/>
        </w:rPr>
        <w:t>RESEARCH METHOD</w:t>
      </w:r>
    </w:p>
    <w:p w14:paraId="45FCDB6C" w14:textId="710E284A" w:rsidR="0045553F" w:rsidRPr="0087485F" w:rsidRDefault="0045553F" w:rsidP="0045553F">
      <w:pPr>
        <w:ind w:firstLine="360"/>
        <w:jc w:val="both"/>
        <w:rPr>
          <w:rFonts w:eastAsia="Times"/>
        </w:rPr>
      </w:pPr>
      <w:r w:rsidRPr="0087485F">
        <w:rPr>
          <w:rFonts w:eastAsia="Times"/>
        </w:rPr>
        <w:t xml:space="preserve">This study uses descriptive qualitative methods and media framing theory to analyze the use of press releases by </w:t>
      </w:r>
      <w:r w:rsidR="001A61F0" w:rsidRPr="0087485F">
        <w:rPr>
          <w:rFonts w:eastAsia="Times"/>
        </w:rPr>
        <w:t>Kemenparekraf RI</w:t>
      </w:r>
      <w:r w:rsidRPr="0087485F">
        <w:rPr>
          <w:rFonts w:eastAsia="Times"/>
        </w:rPr>
        <w:t xml:space="preserve"> located on the https://pedulicovid19.kemenparekraf.go.id/category/info-parekraf/siaran-pers/ on June 22, 2020 ( since the special health protocol for the tourism sector and the creative economy was formalized) until July 27, 2020. According to H. Nawawi &amp; M. Martini (1994), descriptive methods describe an objective situation and are based on real or actual facts, and then general conclusions based on this fact [10]. Media framing theory is used to understand framing and the purpose of publishing press releases by Kemenparekraf</w:t>
      </w:r>
      <w:r w:rsidR="00195E4D" w:rsidRPr="0087485F">
        <w:rPr>
          <w:rFonts w:eastAsia="Times"/>
        </w:rPr>
        <w:t xml:space="preserve"> </w:t>
      </w:r>
      <w:r w:rsidR="001A61F0" w:rsidRPr="0087485F">
        <w:rPr>
          <w:rFonts w:eastAsia="Times"/>
        </w:rPr>
        <w:t>RI</w:t>
      </w:r>
      <w:r w:rsidRPr="0087485F">
        <w:rPr>
          <w:rFonts w:eastAsia="Times"/>
        </w:rPr>
        <w:t xml:space="preserve">, where according to Littlejohn (2017) framing refers to the process of uniting news or other types of media messages, including the ways in which the news is organized and the organization sending cues about how </w:t>
      </w:r>
      <w:r w:rsidR="00195E4D" w:rsidRPr="0087485F">
        <w:rPr>
          <w:rFonts w:eastAsia="Times"/>
        </w:rPr>
        <w:t xml:space="preserve">to </w:t>
      </w:r>
      <w:r w:rsidRPr="0087485F">
        <w:rPr>
          <w:rFonts w:eastAsia="Times"/>
        </w:rPr>
        <w:t xml:space="preserve">understand the content discussed [11]. A. Tversky &amp; D. Kahneman (1992) uses prospect theory, which is a development of framing theory, to illustrate how message framing can influence decision making in uncertain conditions [12]. Research on media framing and press releases has been carried out </w:t>
      </w:r>
      <w:r w:rsidR="00784C6D" w:rsidRPr="0087485F">
        <w:rPr>
          <w:rFonts w:eastAsia="Times"/>
        </w:rPr>
        <w:t>includes</w:t>
      </w:r>
      <w:r w:rsidRPr="0087485F">
        <w:rPr>
          <w:rFonts w:eastAsia="Times"/>
        </w:rPr>
        <w:t xml:space="preserve"> by J. Choi &amp; S. Lee (2017) regarding framing analysis on press releases related to the crisis of the Fukushima nuclear power plant [13]; Liu et al (2019) regarding framing detection in headlines and their application to analyze news framing trends surrounding US gun violence [14]; S. Grimmelikhuijsen, F.D. Vries, and W. Zijlstra (2018) regarding the effects of press releases and media coverage on the perception of trust [15]; and by Lee &amp; Basnyat (2013) regarding framing mapping during the H1N1 influenza pandemic [16].</w:t>
      </w:r>
    </w:p>
    <w:p w14:paraId="610EED14" w14:textId="107A95D4" w:rsidR="00D64FF3" w:rsidRDefault="0045553F" w:rsidP="0045553F">
      <w:pPr>
        <w:ind w:firstLine="360"/>
        <w:jc w:val="both"/>
      </w:pPr>
      <w:r w:rsidRPr="0087485F">
        <w:rPr>
          <w:rFonts w:eastAsia="Times"/>
        </w:rPr>
        <w:t>The data used are primary data taken from the official press release of the Republic of Indonesia Ministry of Tourism and Creative Economy, with secondary data derived from analytical observations from books, scientific journals, research reports, presentation materials from official government agencies, and other related data.</w:t>
      </w:r>
    </w:p>
    <w:p w14:paraId="02E02CF7" w14:textId="0F474C32" w:rsidR="0056441C" w:rsidRPr="0042530D" w:rsidRDefault="0056441C" w:rsidP="0056441C">
      <w:pPr>
        <w:keepNext/>
        <w:keepLines/>
        <w:tabs>
          <w:tab w:val="left" w:pos="454"/>
        </w:tabs>
        <w:spacing w:before="520" w:after="280"/>
        <w:jc w:val="both"/>
      </w:pPr>
      <w:r>
        <w:rPr>
          <w:rFonts w:eastAsia="Times"/>
          <w:b/>
          <w:sz w:val="24"/>
          <w:szCs w:val="24"/>
        </w:rPr>
        <w:t>3</w:t>
      </w:r>
      <w:r w:rsidRPr="0042530D">
        <w:rPr>
          <w:rFonts w:eastAsia="Times"/>
          <w:b/>
          <w:sz w:val="24"/>
          <w:szCs w:val="24"/>
        </w:rPr>
        <w:t xml:space="preserve">   </w:t>
      </w:r>
      <w:r>
        <w:rPr>
          <w:rFonts w:eastAsia="Times"/>
          <w:b/>
          <w:sz w:val="24"/>
          <w:szCs w:val="24"/>
        </w:rPr>
        <w:t>RESULT AND DISCUSSION</w:t>
      </w:r>
    </w:p>
    <w:p w14:paraId="520EB073" w14:textId="3034B6B1" w:rsidR="0045553F" w:rsidRPr="0087485F" w:rsidRDefault="0045553F" w:rsidP="0045553F">
      <w:pPr>
        <w:ind w:firstLine="360"/>
        <w:jc w:val="both"/>
        <w:rPr>
          <w:rFonts w:eastAsia="Times"/>
        </w:rPr>
      </w:pPr>
      <w:r w:rsidRPr="0087485F">
        <w:rPr>
          <w:rFonts w:eastAsia="Times"/>
        </w:rPr>
        <w:t>The impact caused by the pandemic novel corona virus disease 2019 / Covid-19 in the tourism sector was felt directly by the public, and the drastic reduction in the number of foreign tourist arrivals to Indonesia resulted in the decline in foreign exchange generated by the tourism sector. After undergoing a pandemic for five months, currently in Indonesia has entered a new normal era that also applies to the tourism sector and its supporters by implementing special health protocols in the tourism sector and creative economy which among others are ap</w:t>
      </w:r>
      <w:r w:rsidR="00F90116">
        <w:rPr>
          <w:rFonts w:eastAsia="Times"/>
        </w:rPr>
        <w:t>plied to tourist destinations/</w:t>
      </w:r>
      <w:r w:rsidRPr="0087485F">
        <w:rPr>
          <w:rFonts w:eastAsia="Times"/>
        </w:rPr>
        <w:t xml:space="preserve">recreation areas, shopping centers, and culinary place. With good communication efforts, awareness of traveling by following the protocol will occur and it is </w:t>
      </w:r>
      <w:r w:rsidRPr="0087485F">
        <w:rPr>
          <w:rFonts w:eastAsia="Times"/>
        </w:rPr>
        <w:lastRenderedPageBreak/>
        <w:t>hoped that tourist destinations and tourism businesses will continue to run, and therefore efforts are needed from policy makers, in this case Kemenparekraf</w:t>
      </w:r>
      <w:r w:rsidR="008D28BB" w:rsidRPr="0087485F">
        <w:rPr>
          <w:rFonts w:eastAsia="Times"/>
        </w:rPr>
        <w:t xml:space="preserve"> RI</w:t>
      </w:r>
      <w:r w:rsidRPr="0087485F">
        <w:rPr>
          <w:rFonts w:eastAsia="Times"/>
        </w:rPr>
        <w:t>.</w:t>
      </w:r>
    </w:p>
    <w:p w14:paraId="64A7FA45" w14:textId="0166330D" w:rsidR="00224D8F" w:rsidRDefault="0045553F" w:rsidP="0045553F">
      <w:pPr>
        <w:ind w:firstLine="360"/>
        <w:jc w:val="both"/>
        <w:rPr>
          <w:rFonts w:eastAsia="Times"/>
        </w:rPr>
      </w:pPr>
      <w:r w:rsidRPr="0087485F">
        <w:rPr>
          <w:rFonts w:eastAsia="Times"/>
        </w:rPr>
        <w:t xml:space="preserve">In general, the impact of Covid-19 on tourism does not only occur in Indonesia but also the world. In various countries, there has been a decrease in the level of foreign tourist arrivals, flight restrictions and foreign arrivals, tightening of tourism sector regulations, and creating new strategies to bring in tourists (as in the table below) </w:t>
      </w:r>
      <w:r w:rsidR="008C3F97" w:rsidRPr="0087485F">
        <w:rPr>
          <w:rFonts w:eastAsia="Times"/>
        </w:rPr>
        <w:t>[1</w:t>
      </w:r>
      <w:r w:rsidR="007E1942" w:rsidRPr="0087485F">
        <w:rPr>
          <w:rFonts w:eastAsia="Times"/>
        </w:rPr>
        <w:t>7</w:t>
      </w:r>
      <w:r w:rsidR="008C3F97" w:rsidRPr="0087485F">
        <w:rPr>
          <w:rFonts w:eastAsia="Times"/>
        </w:rPr>
        <w:t>].</w:t>
      </w:r>
    </w:p>
    <w:p w14:paraId="5E18FBD9" w14:textId="77777777" w:rsidR="009B6BF7" w:rsidRDefault="009B6BF7" w:rsidP="00224D8F">
      <w:pPr>
        <w:jc w:val="both"/>
        <w:rPr>
          <w:rFonts w:eastAsia="Times"/>
        </w:rPr>
      </w:pPr>
    </w:p>
    <w:p w14:paraId="7D27D7AD" w14:textId="71B7AA1B" w:rsidR="00194CE9" w:rsidRDefault="00194CE9" w:rsidP="00194CE9">
      <w:pPr>
        <w:jc w:val="center"/>
        <w:rPr>
          <w:rFonts w:eastAsia="Times"/>
        </w:rPr>
      </w:pPr>
      <w:r>
        <w:rPr>
          <w:rFonts w:eastAsia="Times"/>
        </w:rPr>
        <w:t>TABLE</w:t>
      </w:r>
      <w:r w:rsidRPr="00C848EC">
        <w:rPr>
          <w:rFonts w:eastAsia="Times"/>
        </w:rPr>
        <w:t xml:space="preserve"> </w:t>
      </w:r>
      <w:r>
        <w:rPr>
          <w:rFonts w:eastAsia="Times"/>
        </w:rPr>
        <w:t>1</w:t>
      </w:r>
      <w:r w:rsidRPr="00C848EC">
        <w:rPr>
          <w:rFonts w:eastAsia="Times"/>
        </w:rPr>
        <w:t xml:space="preserve">. </w:t>
      </w:r>
      <w:r w:rsidR="002C1314" w:rsidRPr="002C1314">
        <w:rPr>
          <w:rFonts w:eastAsia="Times"/>
        </w:rPr>
        <w:t>Impact of Covid-19 on tourism</w:t>
      </w:r>
    </w:p>
    <w:tbl>
      <w:tblPr>
        <w:tblW w:w="7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697"/>
        <w:gridCol w:w="1604"/>
        <w:gridCol w:w="3719"/>
        <w:gridCol w:w="1517"/>
      </w:tblGrid>
      <w:tr w:rsidR="00675F23" w:rsidRPr="00A35CB1" w14:paraId="42F2B258" w14:textId="77777777" w:rsidTr="005F7715">
        <w:trPr>
          <w:trHeight w:val="286"/>
        </w:trPr>
        <w:tc>
          <w:tcPr>
            <w:tcW w:w="697" w:type="dxa"/>
            <w:shd w:val="clear" w:color="auto" w:fill="FFFFFF"/>
            <w:tcMar>
              <w:top w:w="72" w:type="dxa"/>
              <w:left w:w="144" w:type="dxa"/>
              <w:bottom w:w="72" w:type="dxa"/>
              <w:right w:w="144" w:type="dxa"/>
            </w:tcMar>
            <w:textDirection w:val="btLr"/>
            <w:vAlign w:val="center"/>
            <w:hideMark/>
          </w:tcPr>
          <w:p w14:paraId="014500AE" w14:textId="77777777" w:rsidR="009B6BF7" w:rsidRPr="00C61DD3" w:rsidRDefault="009B6BF7" w:rsidP="004C6EF2">
            <w:pPr>
              <w:ind w:firstLine="360"/>
              <w:jc w:val="both"/>
              <w:rPr>
                <w:rFonts w:eastAsia="Times"/>
                <w:sz w:val="18"/>
                <w:szCs w:val="18"/>
                <w:lang w:val="en-US"/>
              </w:rPr>
            </w:pPr>
          </w:p>
        </w:tc>
        <w:tc>
          <w:tcPr>
            <w:tcW w:w="1604" w:type="dxa"/>
            <w:shd w:val="clear" w:color="auto" w:fill="FFFFFF"/>
            <w:tcMar>
              <w:top w:w="72" w:type="dxa"/>
              <w:left w:w="144" w:type="dxa"/>
              <w:bottom w:w="72" w:type="dxa"/>
              <w:right w:w="144" w:type="dxa"/>
            </w:tcMar>
            <w:vAlign w:val="center"/>
            <w:hideMark/>
          </w:tcPr>
          <w:p w14:paraId="4F37CDBB" w14:textId="77777777" w:rsidR="009B6BF7" w:rsidRPr="00C61DD3" w:rsidRDefault="009B6BF7" w:rsidP="004C6EF2">
            <w:pPr>
              <w:jc w:val="center"/>
              <w:rPr>
                <w:rFonts w:eastAsia="Times"/>
                <w:sz w:val="18"/>
                <w:szCs w:val="18"/>
                <w:lang w:val="en-US"/>
              </w:rPr>
            </w:pPr>
            <w:r w:rsidRPr="00C61DD3">
              <w:rPr>
                <w:rFonts w:eastAsia="Times"/>
                <w:b/>
                <w:bCs/>
                <w:sz w:val="18"/>
                <w:szCs w:val="18"/>
                <w:lang w:val="en-US"/>
              </w:rPr>
              <w:t>Q1 2020</w:t>
            </w:r>
          </w:p>
        </w:tc>
        <w:tc>
          <w:tcPr>
            <w:tcW w:w="3719" w:type="dxa"/>
            <w:shd w:val="clear" w:color="auto" w:fill="FFFFFF"/>
            <w:tcMar>
              <w:top w:w="72" w:type="dxa"/>
              <w:left w:w="144" w:type="dxa"/>
              <w:bottom w:w="72" w:type="dxa"/>
              <w:right w:w="144" w:type="dxa"/>
            </w:tcMar>
            <w:vAlign w:val="center"/>
            <w:hideMark/>
          </w:tcPr>
          <w:p w14:paraId="2ADC5375" w14:textId="4086C481" w:rsidR="009B6BF7" w:rsidRPr="00C61DD3" w:rsidRDefault="009B6BF7" w:rsidP="0025636C">
            <w:pPr>
              <w:jc w:val="center"/>
              <w:rPr>
                <w:rFonts w:eastAsia="Times"/>
                <w:sz w:val="18"/>
                <w:szCs w:val="18"/>
                <w:lang w:val="en-US"/>
              </w:rPr>
            </w:pPr>
            <w:r w:rsidRPr="00C61DD3">
              <w:rPr>
                <w:rFonts w:eastAsia="Times"/>
                <w:b/>
                <w:bCs/>
                <w:sz w:val="18"/>
                <w:szCs w:val="18"/>
                <w:lang w:val="en-US"/>
              </w:rPr>
              <w:t>Q2 2020 (</w:t>
            </w:r>
            <w:r w:rsidR="0025636C">
              <w:rPr>
                <w:rFonts w:eastAsia="Times"/>
                <w:b/>
                <w:bCs/>
                <w:sz w:val="18"/>
                <w:szCs w:val="18"/>
                <w:lang w:val="en-US"/>
              </w:rPr>
              <w:t>up to</w:t>
            </w:r>
            <w:r w:rsidRPr="00C61DD3">
              <w:rPr>
                <w:rFonts w:eastAsia="Times"/>
                <w:b/>
                <w:bCs/>
                <w:sz w:val="18"/>
                <w:szCs w:val="18"/>
                <w:lang w:val="en-US"/>
              </w:rPr>
              <w:t xml:space="preserve"> April 2020)</w:t>
            </w:r>
          </w:p>
        </w:tc>
        <w:tc>
          <w:tcPr>
            <w:tcW w:w="1517" w:type="dxa"/>
            <w:shd w:val="clear" w:color="auto" w:fill="FFFFFF"/>
            <w:tcMar>
              <w:top w:w="72" w:type="dxa"/>
              <w:left w:w="144" w:type="dxa"/>
              <w:bottom w:w="72" w:type="dxa"/>
              <w:right w:w="144" w:type="dxa"/>
            </w:tcMar>
            <w:vAlign w:val="center"/>
            <w:hideMark/>
          </w:tcPr>
          <w:p w14:paraId="617A6A3F" w14:textId="77777777" w:rsidR="009B6BF7" w:rsidRPr="00C61DD3" w:rsidRDefault="009B6BF7" w:rsidP="004C6EF2">
            <w:pPr>
              <w:jc w:val="center"/>
              <w:rPr>
                <w:rFonts w:eastAsia="Times"/>
                <w:sz w:val="18"/>
                <w:szCs w:val="18"/>
                <w:lang w:val="en-US"/>
              </w:rPr>
            </w:pPr>
            <w:r w:rsidRPr="00C61DD3">
              <w:rPr>
                <w:rFonts w:eastAsia="Times"/>
                <w:b/>
                <w:bCs/>
                <w:sz w:val="18"/>
                <w:szCs w:val="18"/>
                <w:lang w:val="en-US"/>
              </w:rPr>
              <w:t>Q3 &amp; Q4 2020</w:t>
            </w:r>
          </w:p>
          <w:p w14:paraId="304ADC50" w14:textId="1668EFA3" w:rsidR="009B6BF7" w:rsidRPr="00C61DD3" w:rsidRDefault="009B6BF7" w:rsidP="004C6EF2">
            <w:pPr>
              <w:jc w:val="center"/>
              <w:rPr>
                <w:rFonts w:eastAsia="Times"/>
                <w:sz w:val="18"/>
                <w:szCs w:val="18"/>
                <w:lang w:val="en-US"/>
              </w:rPr>
            </w:pPr>
            <w:r w:rsidRPr="00C61DD3">
              <w:rPr>
                <w:rFonts w:eastAsia="Times"/>
                <w:b/>
                <w:bCs/>
                <w:sz w:val="18"/>
                <w:szCs w:val="18"/>
                <w:lang w:val="en-US"/>
              </w:rPr>
              <w:t>(</w:t>
            </w:r>
            <w:r w:rsidR="00291CEB" w:rsidRPr="00291CEB">
              <w:rPr>
                <w:rFonts w:eastAsia="Times"/>
                <w:b/>
                <w:bCs/>
                <w:sz w:val="18"/>
                <w:szCs w:val="18"/>
                <w:lang w:val="en-US"/>
              </w:rPr>
              <w:t>Prediction and Development</w:t>
            </w:r>
            <w:r w:rsidRPr="00C61DD3">
              <w:rPr>
                <w:rFonts w:eastAsia="Times"/>
                <w:b/>
                <w:bCs/>
                <w:sz w:val="18"/>
                <w:szCs w:val="18"/>
                <w:lang w:val="en-US"/>
              </w:rPr>
              <w:t>)</w:t>
            </w:r>
          </w:p>
        </w:tc>
      </w:tr>
      <w:tr w:rsidR="00675F23" w:rsidRPr="00A35CB1" w14:paraId="16DF7ECA" w14:textId="77777777" w:rsidTr="005F7715">
        <w:trPr>
          <w:trHeight w:val="1843"/>
        </w:trPr>
        <w:tc>
          <w:tcPr>
            <w:tcW w:w="697" w:type="dxa"/>
            <w:shd w:val="clear" w:color="auto" w:fill="FFFFFF"/>
            <w:tcMar>
              <w:top w:w="72" w:type="dxa"/>
              <w:left w:w="144" w:type="dxa"/>
              <w:bottom w:w="72" w:type="dxa"/>
              <w:right w:w="144" w:type="dxa"/>
            </w:tcMar>
            <w:textDirection w:val="btLr"/>
            <w:vAlign w:val="center"/>
            <w:hideMark/>
          </w:tcPr>
          <w:p w14:paraId="73B0A62B" w14:textId="5DA84F1D" w:rsidR="009B6BF7" w:rsidRPr="00A35CB1" w:rsidRDefault="0014136F" w:rsidP="00BA311E">
            <w:pPr>
              <w:ind w:left="113"/>
              <w:jc w:val="center"/>
              <w:rPr>
                <w:rFonts w:eastAsia="Times"/>
                <w:sz w:val="18"/>
                <w:szCs w:val="18"/>
                <w:lang w:val="en-US"/>
              </w:rPr>
            </w:pPr>
            <w:r>
              <w:rPr>
                <w:rFonts w:eastAsia="Times"/>
                <w:b/>
                <w:bCs/>
                <w:sz w:val="18"/>
                <w:szCs w:val="18"/>
                <w:lang w:val="en-US"/>
              </w:rPr>
              <w:t>GLOBAL</w:t>
            </w:r>
          </w:p>
        </w:tc>
        <w:tc>
          <w:tcPr>
            <w:tcW w:w="1604" w:type="dxa"/>
            <w:shd w:val="clear" w:color="auto" w:fill="FFFFFF"/>
            <w:tcMar>
              <w:top w:w="72" w:type="dxa"/>
              <w:left w:w="144" w:type="dxa"/>
              <w:bottom w:w="72" w:type="dxa"/>
              <w:right w:w="144" w:type="dxa"/>
            </w:tcMar>
            <w:vAlign w:val="center"/>
            <w:hideMark/>
          </w:tcPr>
          <w:p w14:paraId="5AE3B568" w14:textId="5036D3F7" w:rsidR="009B6BF7" w:rsidRPr="00A35CB1" w:rsidRDefault="00D1180E" w:rsidP="004C6EF2">
            <w:pPr>
              <w:jc w:val="center"/>
              <w:rPr>
                <w:rFonts w:eastAsia="Times"/>
                <w:sz w:val="18"/>
                <w:szCs w:val="18"/>
                <w:lang w:val="en-US"/>
              </w:rPr>
            </w:pPr>
            <w:r w:rsidRPr="00D1180E">
              <w:rPr>
                <w:rFonts w:eastAsia="Times"/>
                <w:sz w:val="18"/>
                <w:szCs w:val="18"/>
                <w:lang w:val="en-US"/>
              </w:rPr>
              <w:t>The arrival of foreign tourists in several countries (Singapore, Thailand, Japan, South Korea, Vietnam, Hong Kong) fell between 70-90%</w:t>
            </w:r>
          </w:p>
        </w:tc>
        <w:tc>
          <w:tcPr>
            <w:tcW w:w="3719" w:type="dxa"/>
            <w:shd w:val="clear" w:color="auto" w:fill="FFFFFF"/>
            <w:tcMar>
              <w:top w:w="72" w:type="dxa"/>
              <w:left w:w="144" w:type="dxa"/>
              <w:bottom w:w="72" w:type="dxa"/>
              <w:right w:w="144" w:type="dxa"/>
            </w:tcMar>
            <w:vAlign w:val="center"/>
            <w:hideMark/>
          </w:tcPr>
          <w:p w14:paraId="47164199" w14:textId="32F7C2FD" w:rsidR="00871606" w:rsidRPr="00871606" w:rsidRDefault="00871606" w:rsidP="002A55A1">
            <w:pPr>
              <w:numPr>
                <w:ilvl w:val="0"/>
                <w:numId w:val="5"/>
              </w:numPr>
              <w:tabs>
                <w:tab w:val="clear" w:pos="720"/>
              </w:tabs>
              <w:ind w:left="335"/>
              <w:jc w:val="both"/>
              <w:rPr>
                <w:rFonts w:eastAsia="Times"/>
                <w:sz w:val="18"/>
                <w:szCs w:val="18"/>
                <w:lang w:val="en-US"/>
              </w:rPr>
            </w:pPr>
            <w:r w:rsidRPr="00871606">
              <w:rPr>
                <w:rFonts w:eastAsia="Times"/>
                <w:sz w:val="18"/>
                <w:szCs w:val="18"/>
                <w:lang w:val="en-US"/>
              </w:rPr>
              <w:t>China is starting to recover</w:t>
            </w:r>
          </w:p>
          <w:p w14:paraId="3BDF7774" w14:textId="37542AB9" w:rsidR="00871606" w:rsidRPr="00871606" w:rsidRDefault="00871606" w:rsidP="002A55A1">
            <w:pPr>
              <w:numPr>
                <w:ilvl w:val="0"/>
                <w:numId w:val="5"/>
              </w:numPr>
              <w:tabs>
                <w:tab w:val="clear" w:pos="720"/>
              </w:tabs>
              <w:ind w:left="335"/>
              <w:jc w:val="both"/>
              <w:rPr>
                <w:rFonts w:eastAsia="Times"/>
                <w:sz w:val="18"/>
                <w:szCs w:val="18"/>
                <w:lang w:val="en-US"/>
              </w:rPr>
            </w:pPr>
            <w:r w:rsidRPr="00871606">
              <w:rPr>
                <w:rFonts w:eastAsia="Times"/>
                <w:sz w:val="18"/>
                <w:szCs w:val="18"/>
                <w:lang w:val="en-US"/>
              </w:rPr>
              <w:t>Thailand in June opened 2 islands for tourists (</w:t>
            </w:r>
            <w:proofErr w:type="spellStart"/>
            <w:r w:rsidRPr="00871606">
              <w:rPr>
                <w:rFonts w:eastAsia="Times"/>
                <w:sz w:val="18"/>
                <w:szCs w:val="18"/>
                <w:lang w:val="en-US"/>
              </w:rPr>
              <w:t>Koh</w:t>
            </w:r>
            <w:proofErr w:type="spellEnd"/>
            <w:r w:rsidRPr="00871606">
              <w:rPr>
                <w:rFonts w:eastAsia="Times"/>
                <w:sz w:val="18"/>
                <w:szCs w:val="18"/>
                <w:lang w:val="en-US"/>
              </w:rPr>
              <w:t xml:space="preserve"> </w:t>
            </w:r>
            <w:proofErr w:type="spellStart"/>
            <w:r w:rsidRPr="00871606">
              <w:rPr>
                <w:rFonts w:eastAsia="Times"/>
                <w:sz w:val="18"/>
                <w:szCs w:val="18"/>
                <w:lang w:val="en-US"/>
              </w:rPr>
              <w:t>Samui</w:t>
            </w:r>
            <w:proofErr w:type="spellEnd"/>
            <w:r w:rsidRPr="00871606">
              <w:rPr>
                <w:rFonts w:eastAsia="Times"/>
                <w:sz w:val="18"/>
                <w:szCs w:val="18"/>
                <w:lang w:val="en-US"/>
              </w:rPr>
              <w:t xml:space="preserve"> and </w:t>
            </w:r>
            <w:proofErr w:type="spellStart"/>
            <w:r w:rsidRPr="00871606">
              <w:rPr>
                <w:rFonts w:eastAsia="Times"/>
                <w:sz w:val="18"/>
                <w:szCs w:val="18"/>
                <w:lang w:val="en-US"/>
              </w:rPr>
              <w:t>Koh</w:t>
            </w:r>
            <w:proofErr w:type="spellEnd"/>
            <w:r w:rsidRPr="00871606">
              <w:rPr>
                <w:rFonts w:eastAsia="Times"/>
                <w:sz w:val="18"/>
                <w:szCs w:val="18"/>
                <w:lang w:val="en-US"/>
              </w:rPr>
              <w:t xml:space="preserve"> </w:t>
            </w:r>
            <w:proofErr w:type="spellStart"/>
            <w:r w:rsidRPr="00871606">
              <w:rPr>
                <w:rFonts w:eastAsia="Times"/>
                <w:sz w:val="18"/>
                <w:szCs w:val="18"/>
                <w:lang w:val="en-US"/>
              </w:rPr>
              <w:t>Pangan</w:t>
            </w:r>
            <w:proofErr w:type="spellEnd"/>
            <w:r w:rsidRPr="00871606">
              <w:rPr>
                <w:rFonts w:eastAsia="Times"/>
                <w:sz w:val="18"/>
                <w:szCs w:val="18"/>
                <w:lang w:val="en-US"/>
              </w:rPr>
              <w:t>) with the tagline luxury tourism</w:t>
            </w:r>
          </w:p>
          <w:p w14:paraId="06F67410" w14:textId="5C154710" w:rsidR="00871606" w:rsidRPr="00871606" w:rsidRDefault="00871606" w:rsidP="002A55A1">
            <w:pPr>
              <w:numPr>
                <w:ilvl w:val="0"/>
                <w:numId w:val="5"/>
              </w:numPr>
              <w:tabs>
                <w:tab w:val="clear" w:pos="720"/>
              </w:tabs>
              <w:ind w:left="335"/>
              <w:jc w:val="both"/>
              <w:rPr>
                <w:rFonts w:eastAsia="Times"/>
                <w:sz w:val="18"/>
                <w:szCs w:val="18"/>
                <w:lang w:val="en-US"/>
              </w:rPr>
            </w:pPr>
            <w:r w:rsidRPr="00871606">
              <w:rPr>
                <w:rFonts w:eastAsia="Times"/>
                <w:sz w:val="18"/>
                <w:szCs w:val="18"/>
                <w:lang w:val="en-US"/>
              </w:rPr>
              <w:t>Vietnam has begun to open gradually independent digitally driven traveler</w:t>
            </w:r>
          </w:p>
          <w:p w14:paraId="09029E6A" w14:textId="7A1A3FFA" w:rsidR="009B6BF7" w:rsidRPr="00A35CB1" w:rsidRDefault="00871606" w:rsidP="002A55A1">
            <w:pPr>
              <w:numPr>
                <w:ilvl w:val="0"/>
                <w:numId w:val="5"/>
              </w:numPr>
              <w:tabs>
                <w:tab w:val="clear" w:pos="720"/>
              </w:tabs>
              <w:ind w:left="335"/>
              <w:jc w:val="both"/>
              <w:rPr>
                <w:rFonts w:eastAsia="Times"/>
                <w:sz w:val="18"/>
                <w:szCs w:val="18"/>
                <w:lang w:val="en-US"/>
              </w:rPr>
            </w:pPr>
            <w:r w:rsidRPr="00871606">
              <w:rPr>
                <w:rFonts w:eastAsia="Times"/>
                <w:sz w:val="18"/>
                <w:szCs w:val="18"/>
                <w:lang w:val="en-US"/>
              </w:rPr>
              <w:t>Australia and Singapore discuss the concept of travel bubbles or special tourism corridors in the green zone countries</w:t>
            </w:r>
          </w:p>
        </w:tc>
        <w:tc>
          <w:tcPr>
            <w:tcW w:w="1517" w:type="dxa"/>
            <w:shd w:val="clear" w:color="auto" w:fill="FFFFFF"/>
            <w:tcMar>
              <w:top w:w="72" w:type="dxa"/>
              <w:left w:w="144" w:type="dxa"/>
              <w:bottom w:w="72" w:type="dxa"/>
              <w:right w:w="144" w:type="dxa"/>
            </w:tcMar>
            <w:vAlign w:val="center"/>
            <w:hideMark/>
          </w:tcPr>
          <w:p w14:paraId="4483FF21" w14:textId="4F2C908D" w:rsidR="009B6BF7" w:rsidRPr="00A35CB1" w:rsidRDefault="009356B8" w:rsidP="004C6EF2">
            <w:pPr>
              <w:jc w:val="center"/>
              <w:rPr>
                <w:rFonts w:eastAsia="Times"/>
                <w:sz w:val="18"/>
                <w:szCs w:val="18"/>
                <w:lang w:val="en-US"/>
              </w:rPr>
            </w:pPr>
            <w:r w:rsidRPr="009356B8">
              <w:rPr>
                <w:rFonts w:eastAsia="Times"/>
                <w:sz w:val="18"/>
                <w:szCs w:val="18"/>
                <w:lang w:val="en-US"/>
              </w:rPr>
              <w:t>Flight occupancy has declined because of restrictions and the courage to travel has not yet recovered</w:t>
            </w:r>
          </w:p>
        </w:tc>
      </w:tr>
      <w:tr w:rsidR="00675F23" w:rsidRPr="00A35CB1" w14:paraId="04C6EA59" w14:textId="77777777" w:rsidTr="005F7715">
        <w:trPr>
          <w:trHeight w:val="943"/>
        </w:trPr>
        <w:tc>
          <w:tcPr>
            <w:tcW w:w="697" w:type="dxa"/>
            <w:shd w:val="clear" w:color="auto" w:fill="FFFFFF"/>
            <w:tcMar>
              <w:top w:w="72" w:type="dxa"/>
              <w:left w:w="144" w:type="dxa"/>
              <w:bottom w:w="72" w:type="dxa"/>
              <w:right w:w="144" w:type="dxa"/>
            </w:tcMar>
            <w:textDirection w:val="btLr"/>
            <w:vAlign w:val="center"/>
            <w:hideMark/>
          </w:tcPr>
          <w:p w14:paraId="170FD125" w14:textId="77777777" w:rsidR="009B6BF7" w:rsidRPr="00A35CB1" w:rsidRDefault="009B6BF7" w:rsidP="004D700C">
            <w:pPr>
              <w:rPr>
                <w:rFonts w:eastAsia="Times"/>
                <w:sz w:val="18"/>
                <w:szCs w:val="18"/>
                <w:lang w:val="en-US"/>
              </w:rPr>
            </w:pPr>
            <w:r w:rsidRPr="00A35CB1">
              <w:rPr>
                <w:rFonts w:eastAsia="Times"/>
                <w:b/>
                <w:bCs/>
                <w:sz w:val="18"/>
                <w:szCs w:val="18"/>
                <w:lang w:val="en-US"/>
              </w:rPr>
              <w:t>INDONESIA</w:t>
            </w:r>
          </w:p>
        </w:tc>
        <w:tc>
          <w:tcPr>
            <w:tcW w:w="1604" w:type="dxa"/>
            <w:shd w:val="clear" w:color="auto" w:fill="FFFFFF"/>
            <w:tcMar>
              <w:top w:w="72" w:type="dxa"/>
              <w:left w:w="144" w:type="dxa"/>
              <w:bottom w:w="72" w:type="dxa"/>
              <w:right w:w="144" w:type="dxa"/>
            </w:tcMar>
            <w:vAlign w:val="center"/>
            <w:hideMark/>
          </w:tcPr>
          <w:p w14:paraId="54D7300A" w14:textId="7535C291" w:rsidR="009B6BF7" w:rsidRPr="00A35CB1" w:rsidRDefault="00407F3A" w:rsidP="004C6EF2">
            <w:pPr>
              <w:jc w:val="center"/>
              <w:rPr>
                <w:rFonts w:eastAsia="Times"/>
                <w:sz w:val="18"/>
                <w:szCs w:val="18"/>
                <w:lang w:val="en-US"/>
              </w:rPr>
            </w:pPr>
            <w:r w:rsidRPr="00407F3A">
              <w:rPr>
                <w:rFonts w:eastAsia="Times"/>
                <w:sz w:val="18"/>
                <w:szCs w:val="18"/>
                <w:lang w:val="en-US"/>
              </w:rPr>
              <w:t>The arrival of foreign tourists in Indonesia fell in the range of 70%</w:t>
            </w:r>
          </w:p>
        </w:tc>
        <w:tc>
          <w:tcPr>
            <w:tcW w:w="3719" w:type="dxa"/>
            <w:shd w:val="clear" w:color="auto" w:fill="FFFFFF"/>
            <w:tcMar>
              <w:top w:w="72" w:type="dxa"/>
              <w:left w:w="144" w:type="dxa"/>
              <w:bottom w:w="72" w:type="dxa"/>
              <w:right w:w="144" w:type="dxa"/>
            </w:tcMar>
            <w:vAlign w:val="center"/>
            <w:hideMark/>
          </w:tcPr>
          <w:p w14:paraId="5E5AC0EE" w14:textId="4AA68092" w:rsidR="009B6BF7" w:rsidRPr="00A35CB1" w:rsidRDefault="006E1614" w:rsidP="004C6EF2">
            <w:pPr>
              <w:jc w:val="center"/>
              <w:rPr>
                <w:rFonts w:eastAsia="Times"/>
                <w:sz w:val="18"/>
                <w:szCs w:val="18"/>
                <w:lang w:val="en-US"/>
              </w:rPr>
            </w:pPr>
            <w:r w:rsidRPr="006E1614">
              <w:rPr>
                <w:rFonts w:eastAsia="Times"/>
                <w:sz w:val="18"/>
                <w:szCs w:val="18"/>
                <w:lang w:val="en-US"/>
              </w:rPr>
              <w:t>The arrival of foreign tourists in Indonesia fell in the range of 90%</w:t>
            </w:r>
          </w:p>
        </w:tc>
        <w:tc>
          <w:tcPr>
            <w:tcW w:w="1517" w:type="dxa"/>
            <w:shd w:val="clear" w:color="auto" w:fill="FFFFFF"/>
            <w:tcMar>
              <w:top w:w="72" w:type="dxa"/>
              <w:left w:w="144" w:type="dxa"/>
              <w:bottom w:w="72" w:type="dxa"/>
              <w:right w:w="144" w:type="dxa"/>
            </w:tcMar>
            <w:vAlign w:val="center"/>
            <w:hideMark/>
          </w:tcPr>
          <w:p w14:paraId="5AA8475F" w14:textId="261A41B9" w:rsidR="009B6BF7" w:rsidRPr="00A35CB1" w:rsidRDefault="006E1614" w:rsidP="004C6EF2">
            <w:pPr>
              <w:jc w:val="center"/>
              <w:rPr>
                <w:rFonts w:eastAsia="Times"/>
                <w:sz w:val="18"/>
                <w:szCs w:val="18"/>
                <w:lang w:val="en-US"/>
              </w:rPr>
            </w:pPr>
            <w:r w:rsidRPr="006E1614">
              <w:rPr>
                <w:rFonts w:eastAsia="Times"/>
                <w:sz w:val="18"/>
                <w:szCs w:val="18"/>
                <w:lang w:val="en-US"/>
              </w:rPr>
              <w:t>Some international events have not yet confirmed the cancellation, especially in Bali</w:t>
            </w:r>
          </w:p>
        </w:tc>
      </w:tr>
    </w:tbl>
    <w:p w14:paraId="339BF64F" w14:textId="7CF3A3B4" w:rsidR="009B6BF7" w:rsidRDefault="00C8252B" w:rsidP="002B435A">
      <w:pPr>
        <w:jc w:val="center"/>
        <w:rPr>
          <w:rFonts w:eastAsia="Times"/>
        </w:rPr>
      </w:pPr>
      <w:r>
        <w:rPr>
          <w:rFonts w:eastAsia="Times"/>
        </w:rPr>
        <w:t xml:space="preserve">Source: Badan </w:t>
      </w:r>
      <w:r w:rsidR="002B435A">
        <w:rPr>
          <w:rFonts w:eastAsia="Times"/>
        </w:rPr>
        <w:t xml:space="preserve">Pelaksana </w:t>
      </w:r>
      <w:r>
        <w:rPr>
          <w:rFonts w:eastAsia="Times"/>
        </w:rPr>
        <w:t xml:space="preserve">Otorita </w:t>
      </w:r>
      <w:r w:rsidR="002B435A">
        <w:rPr>
          <w:rFonts w:eastAsia="Times"/>
        </w:rPr>
        <w:t>Danau Toba, 2020</w:t>
      </w:r>
    </w:p>
    <w:p w14:paraId="20F23DAF" w14:textId="77777777" w:rsidR="00C8252B" w:rsidRDefault="00C8252B" w:rsidP="00224D8F">
      <w:pPr>
        <w:jc w:val="both"/>
        <w:rPr>
          <w:rFonts w:eastAsia="Times"/>
        </w:rPr>
      </w:pPr>
    </w:p>
    <w:p w14:paraId="28C69B9B" w14:textId="44DE0FA6" w:rsidR="008B7BE4" w:rsidRPr="0027520B" w:rsidRDefault="008B7BE4" w:rsidP="008B7BE4">
      <w:pPr>
        <w:ind w:firstLine="360"/>
        <w:jc w:val="both"/>
        <w:rPr>
          <w:rFonts w:eastAsia="Times"/>
        </w:rPr>
      </w:pPr>
      <w:r w:rsidRPr="0027520B">
        <w:rPr>
          <w:rFonts w:eastAsia="Times"/>
        </w:rPr>
        <w:t xml:space="preserve">The Ministry of National Development Planning of the Republic of Indonesia / National Development Planning Agency (Bappenas) points out that the two sectors of tourism in Indonesia that were most seriously affected due to Covid-19 are accommodation providers where negative impacts occur due to a decrease in the number of foreign and domestic tourist visits, as well as restrictions the movement of the community so that restaurants can only do delivery or take away as well as transportation providers with the largest decrease in air transport, while the decline in freight activity is restrained by increasing online shopping shipments in line with work from home policies [18]. In addition </w:t>
      </w:r>
      <w:r w:rsidR="008D28BB" w:rsidRPr="0027520B">
        <w:rPr>
          <w:rFonts w:eastAsia="Times"/>
        </w:rPr>
        <w:t>Kemenpar</w:t>
      </w:r>
      <w:r w:rsidR="009E7B36">
        <w:rPr>
          <w:rFonts w:eastAsia="Times"/>
        </w:rPr>
        <w:t>e</w:t>
      </w:r>
      <w:r w:rsidR="008D28BB" w:rsidRPr="0027520B">
        <w:rPr>
          <w:rFonts w:eastAsia="Times"/>
        </w:rPr>
        <w:t>kraf RI</w:t>
      </w:r>
      <w:r w:rsidRPr="0027520B">
        <w:rPr>
          <w:rFonts w:eastAsia="Times"/>
        </w:rPr>
        <w:t xml:space="preserve"> estimates that the Covid-19 pandemic could result in Indonesia losing foreign exchange from the tourism sector by 50% or 140 trillion rupiahs, for which the 2020 target has an initial projection of 280 trillion rupiahs of foreign exchange [19].</w:t>
      </w:r>
    </w:p>
    <w:p w14:paraId="261EA32F" w14:textId="1A22EA63" w:rsidR="00430D7B" w:rsidRDefault="008B7BE4" w:rsidP="008B7BE4">
      <w:pPr>
        <w:ind w:firstLine="360"/>
        <w:jc w:val="both"/>
        <w:rPr>
          <w:rFonts w:eastAsia="Times"/>
          <w:lang w:val="en-US"/>
        </w:rPr>
      </w:pPr>
      <w:r w:rsidRPr="0027520B">
        <w:rPr>
          <w:rFonts w:eastAsia="Times"/>
        </w:rPr>
        <w:t>In addition, Bappenas explained that the impact of Covid-19 on the tourism sector consisted of five points, which occurred in the hotel sector, travel and transportation services, the food and beverage industry, the cinema, and tourism and MICE activities (meetings, incentives, conventions, exhibitions) and There are four risks that must be faced (see the table below)</w:t>
      </w:r>
      <w:r w:rsidRPr="0027520B">
        <w:rPr>
          <w:rFonts w:eastAsia="Times"/>
          <w:lang w:val="en-US"/>
        </w:rPr>
        <w:t xml:space="preserve"> </w:t>
      </w:r>
      <w:r w:rsidR="00143282" w:rsidRPr="0027520B">
        <w:rPr>
          <w:rFonts w:eastAsia="Times"/>
          <w:lang w:val="en-US"/>
        </w:rPr>
        <w:t>[</w:t>
      </w:r>
      <w:r w:rsidR="00AE0175" w:rsidRPr="0027520B">
        <w:rPr>
          <w:rFonts w:eastAsia="Times"/>
          <w:lang w:val="en-US"/>
        </w:rPr>
        <w:t>20</w:t>
      </w:r>
      <w:r w:rsidR="00143282" w:rsidRPr="0027520B">
        <w:rPr>
          <w:rFonts w:eastAsia="Times"/>
          <w:lang w:val="en-US"/>
        </w:rPr>
        <w:t>]</w:t>
      </w:r>
      <w:r w:rsidR="009D3003" w:rsidRPr="0027520B">
        <w:rPr>
          <w:rFonts w:eastAsia="Times"/>
          <w:lang w:val="en-US"/>
        </w:rPr>
        <w:t>:</w:t>
      </w:r>
    </w:p>
    <w:p w14:paraId="7F03D571" w14:textId="77777777" w:rsidR="0049164C" w:rsidRDefault="0049164C" w:rsidP="0049164C">
      <w:pPr>
        <w:jc w:val="both"/>
        <w:rPr>
          <w:rFonts w:eastAsia="Times"/>
          <w:lang w:val="en-US"/>
        </w:rPr>
      </w:pPr>
    </w:p>
    <w:p w14:paraId="4057C0E6" w14:textId="77777777" w:rsidR="00E92279" w:rsidRDefault="00E92279" w:rsidP="0049164C">
      <w:pPr>
        <w:jc w:val="both"/>
        <w:rPr>
          <w:rFonts w:eastAsia="Times"/>
          <w:lang w:val="en-US"/>
        </w:rPr>
      </w:pPr>
    </w:p>
    <w:p w14:paraId="01900E53" w14:textId="77777777" w:rsidR="00E92279" w:rsidRDefault="00E92279" w:rsidP="0049164C">
      <w:pPr>
        <w:jc w:val="both"/>
        <w:rPr>
          <w:rFonts w:eastAsia="Times"/>
          <w:lang w:val="en-US"/>
        </w:rPr>
      </w:pPr>
    </w:p>
    <w:p w14:paraId="29F26AE3" w14:textId="77777777" w:rsidR="00B54FC8" w:rsidRDefault="00B54FC8" w:rsidP="0049164C">
      <w:pPr>
        <w:jc w:val="both"/>
        <w:rPr>
          <w:rFonts w:eastAsia="Times"/>
          <w:lang w:val="en-US"/>
        </w:rPr>
      </w:pPr>
      <w:bookmarkStart w:id="0" w:name="_GoBack"/>
      <w:bookmarkEnd w:id="0"/>
    </w:p>
    <w:p w14:paraId="6B9723F1" w14:textId="3FFA17B9" w:rsidR="0049164C" w:rsidRDefault="0049164C" w:rsidP="0049164C">
      <w:pPr>
        <w:jc w:val="center"/>
        <w:rPr>
          <w:rFonts w:eastAsia="Times"/>
        </w:rPr>
      </w:pPr>
      <w:r>
        <w:rPr>
          <w:rFonts w:eastAsia="Times"/>
        </w:rPr>
        <w:lastRenderedPageBreak/>
        <w:t>TABLE</w:t>
      </w:r>
      <w:r w:rsidRPr="00C848EC">
        <w:rPr>
          <w:rFonts w:eastAsia="Times"/>
        </w:rPr>
        <w:t xml:space="preserve"> </w:t>
      </w:r>
      <w:r w:rsidR="00F06E2E">
        <w:rPr>
          <w:rFonts w:eastAsia="Times"/>
        </w:rPr>
        <w:t>2</w:t>
      </w:r>
      <w:r w:rsidRPr="00C848EC">
        <w:rPr>
          <w:rFonts w:eastAsia="Times"/>
        </w:rPr>
        <w:t xml:space="preserve">. </w:t>
      </w:r>
      <w:r w:rsidR="00872CD4" w:rsidRPr="00872CD4">
        <w:rPr>
          <w:rFonts w:eastAsia="Times"/>
        </w:rPr>
        <w:t>Impact and risk of Covid-19 on the Indonesian tourism industry</w:t>
      </w:r>
    </w:p>
    <w:tbl>
      <w:tblPr>
        <w:tblW w:w="75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3870"/>
        <w:gridCol w:w="3690"/>
      </w:tblGrid>
      <w:tr w:rsidR="00FF3F49" w:rsidRPr="00FF3F49" w14:paraId="09984971" w14:textId="77777777" w:rsidTr="0049164C">
        <w:trPr>
          <w:trHeight w:val="277"/>
        </w:trPr>
        <w:tc>
          <w:tcPr>
            <w:tcW w:w="3870" w:type="dxa"/>
            <w:shd w:val="clear" w:color="auto" w:fill="auto"/>
            <w:tcMar>
              <w:top w:w="72" w:type="dxa"/>
              <w:left w:w="144" w:type="dxa"/>
              <w:bottom w:w="72" w:type="dxa"/>
              <w:right w:w="144" w:type="dxa"/>
            </w:tcMar>
            <w:vAlign w:val="center"/>
            <w:hideMark/>
          </w:tcPr>
          <w:p w14:paraId="333F0B79" w14:textId="2812295A" w:rsidR="00FF3F49" w:rsidRPr="00FF3F49" w:rsidRDefault="00896C96" w:rsidP="00BE1C6C">
            <w:pPr>
              <w:jc w:val="center"/>
              <w:rPr>
                <w:rFonts w:eastAsia="Times"/>
                <w:sz w:val="18"/>
                <w:szCs w:val="18"/>
                <w:lang w:val="en-US"/>
              </w:rPr>
            </w:pPr>
            <w:r w:rsidRPr="00896C96">
              <w:rPr>
                <w:rFonts w:eastAsia="Times"/>
                <w:b/>
                <w:bCs/>
                <w:sz w:val="18"/>
                <w:szCs w:val="18"/>
                <w:lang w:val="en-US"/>
              </w:rPr>
              <w:t>Impact of Decline</w:t>
            </w:r>
          </w:p>
        </w:tc>
        <w:tc>
          <w:tcPr>
            <w:tcW w:w="3690" w:type="dxa"/>
            <w:shd w:val="clear" w:color="auto" w:fill="auto"/>
            <w:tcMar>
              <w:top w:w="72" w:type="dxa"/>
              <w:left w:w="144" w:type="dxa"/>
              <w:bottom w:w="72" w:type="dxa"/>
              <w:right w:w="144" w:type="dxa"/>
            </w:tcMar>
            <w:vAlign w:val="center"/>
            <w:hideMark/>
          </w:tcPr>
          <w:p w14:paraId="14A7EF69" w14:textId="1E279461" w:rsidR="00FF3F49" w:rsidRPr="00FF3F49" w:rsidRDefault="006F3B35" w:rsidP="00BE1C6C">
            <w:pPr>
              <w:jc w:val="center"/>
              <w:rPr>
                <w:rFonts w:eastAsia="Times"/>
                <w:sz w:val="18"/>
                <w:szCs w:val="18"/>
                <w:lang w:val="en-US"/>
              </w:rPr>
            </w:pPr>
            <w:r w:rsidRPr="006F3B35">
              <w:rPr>
                <w:rFonts w:eastAsia="Times"/>
                <w:b/>
                <w:bCs/>
                <w:sz w:val="18"/>
                <w:szCs w:val="18"/>
                <w:lang w:val="en-US"/>
              </w:rPr>
              <w:t>Risk</w:t>
            </w:r>
          </w:p>
        </w:tc>
      </w:tr>
      <w:tr w:rsidR="00FF3F49" w:rsidRPr="00FF3F49" w14:paraId="79FC2E9C" w14:textId="77777777" w:rsidTr="0049164C">
        <w:trPr>
          <w:trHeight w:val="1191"/>
        </w:trPr>
        <w:tc>
          <w:tcPr>
            <w:tcW w:w="3870" w:type="dxa"/>
            <w:shd w:val="clear" w:color="auto" w:fill="auto"/>
            <w:tcMar>
              <w:top w:w="72" w:type="dxa"/>
              <w:left w:w="144" w:type="dxa"/>
              <w:bottom w:w="72" w:type="dxa"/>
              <w:right w:w="144" w:type="dxa"/>
            </w:tcMar>
            <w:hideMark/>
          </w:tcPr>
          <w:p w14:paraId="2A9226BD" w14:textId="7B36A9D1" w:rsidR="00275E7F" w:rsidRPr="00275E7F" w:rsidRDefault="00275E7F" w:rsidP="00275E7F">
            <w:pPr>
              <w:numPr>
                <w:ilvl w:val="0"/>
                <w:numId w:val="4"/>
              </w:numPr>
              <w:tabs>
                <w:tab w:val="clear" w:pos="720"/>
              </w:tabs>
              <w:ind w:left="306"/>
              <w:jc w:val="both"/>
              <w:rPr>
                <w:rFonts w:eastAsia="Times"/>
                <w:sz w:val="18"/>
                <w:szCs w:val="18"/>
                <w:lang w:val="en-US"/>
              </w:rPr>
            </w:pPr>
            <w:r w:rsidRPr="00275E7F">
              <w:rPr>
                <w:rFonts w:eastAsia="Times"/>
                <w:sz w:val="18"/>
                <w:szCs w:val="18"/>
                <w:lang w:val="en-US"/>
              </w:rPr>
              <w:t>Hotel occupancy.</w:t>
            </w:r>
          </w:p>
          <w:p w14:paraId="43E4E3B9" w14:textId="7B1DBD1E" w:rsidR="00275E7F" w:rsidRPr="00275E7F" w:rsidRDefault="00275E7F" w:rsidP="00275E7F">
            <w:pPr>
              <w:numPr>
                <w:ilvl w:val="0"/>
                <w:numId w:val="4"/>
              </w:numPr>
              <w:tabs>
                <w:tab w:val="clear" w:pos="720"/>
              </w:tabs>
              <w:ind w:left="306"/>
              <w:jc w:val="both"/>
              <w:rPr>
                <w:rFonts w:eastAsia="Times"/>
                <w:sz w:val="18"/>
                <w:szCs w:val="18"/>
                <w:lang w:val="en-US"/>
              </w:rPr>
            </w:pPr>
            <w:r w:rsidRPr="00275E7F">
              <w:rPr>
                <w:rFonts w:eastAsia="Times"/>
                <w:sz w:val="18"/>
                <w:szCs w:val="18"/>
                <w:lang w:val="en-US"/>
              </w:rPr>
              <w:t>Travel agency and transportation services.</w:t>
            </w:r>
          </w:p>
          <w:p w14:paraId="3F00F97D" w14:textId="3EED3464" w:rsidR="00275E7F" w:rsidRPr="00275E7F" w:rsidRDefault="00275E7F" w:rsidP="00275E7F">
            <w:pPr>
              <w:numPr>
                <w:ilvl w:val="0"/>
                <w:numId w:val="4"/>
              </w:numPr>
              <w:tabs>
                <w:tab w:val="clear" w:pos="720"/>
              </w:tabs>
              <w:ind w:left="306"/>
              <w:jc w:val="both"/>
              <w:rPr>
                <w:rFonts w:eastAsia="Times"/>
                <w:sz w:val="18"/>
                <w:szCs w:val="18"/>
                <w:lang w:val="en-US"/>
              </w:rPr>
            </w:pPr>
            <w:r w:rsidRPr="00275E7F">
              <w:rPr>
                <w:rFonts w:eastAsia="Times"/>
                <w:sz w:val="18"/>
                <w:szCs w:val="18"/>
                <w:lang w:val="en-US"/>
              </w:rPr>
              <w:t>Turnover of food and drinks.</w:t>
            </w:r>
          </w:p>
          <w:p w14:paraId="236FFC9D" w14:textId="2DAACAA5" w:rsidR="00275E7F" w:rsidRPr="00275E7F" w:rsidRDefault="00275E7F" w:rsidP="00275E7F">
            <w:pPr>
              <w:numPr>
                <w:ilvl w:val="0"/>
                <w:numId w:val="4"/>
              </w:numPr>
              <w:tabs>
                <w:tab w:val="clear" w:pos="720"/>
              </w:tabs>
              <w:ind w:left="306"/>
              <w:jc w:val="both"/>
              <w:rPr>
                <w:rFonts w:eastAsia="Times"/>
                <w:sz w:val="18"/>
                <w:szCs w:val="18"/>
                <w:lang w:val="en-US"/>
              </w:rPr>
            </w:pPr>
            <w:r>
              <w:rPr>
                <w:rFonts w:eastAsia="Times"/>
                <w:sz w:val="18"/>
                <w:szCs w:val="18"/>
                <w:lang w:val="en-US"/>
              </w:rPr>
              <w:t>M</w:t>
            </w:r>
            <w:r w:rsidRPr="00275E7F">
              <w:rPr>
                <w:rFonts w:eastAsia="Times"/>
                <w:sz w:val="18"/>
                <w:szCs w:val="18"/>
                <w:lang w:val="en-US"/>
              </w:rPr>
              <w:t>oviegoers.</w:t>
            </w:r>
          </w:p>
          <w:p w14:paraId="73AA2EB0" w14:textId="6728F13A" w:rsidR="00BD19F9" w:rsidRPr="00FF3F49" w:rsidRDefault="00275E7F" w:rsidP="00275E7F">
            <w:pPr>
              <w:numPr>
                <w:ilvl w:val="0"/>
                <w:numId w:val="4"/>
              </w:numPr>
              <w:tabs>
                <w:tab w:val="clear" w:pos="720"/>
              </w:tabs>
              <w:ind w:left="306"/>
              <w:jc w:val="both"/>
              <w:rPr>
                <w:rFonts w:eastAsia="Times"/>
                <w:sz w:val="18"/>
                <w:szCs w:val="18"/>
                <w:lang w:val="en-US"/>
              </w:rPr>
            </w:pPr>
            <w:r w:rsidRPr="00275E7F">
              <w:rPr>
                <w:rFonts w:eastAsia="Times"/>
                <w:sz w:val="18"/>
                <w:szCs w:val="18"/>
                <w:lang w:val="en-US"/>
              </w:rPr>
              <w:t>Tourism and MICE activities (meeting, incentive, convention, exhibition).</w:t>
            </w:r>
          </w:p>
        </w:tc>
        <w:tc>
          <w:tcPr>
            <w:tcW w:w="3690" w:type="dxa"/>
            <w:shd w:val="clear" w:color="auto" w:fill="auto"/>
            <w:tcMar>
              <w:top w:w="72" w:type="dxa"/>
              <w:left w:w="144" w:type="dxa"/>
              <w:bottom w:w="72" w:type="dxa"/>
              <w:right w:w="144" w:type="dxa"/>
            </w:tcMar>
            <w:hideMark/>
          </w:tcPr>
          <w:p w14:paraId="41E50573" w14:textId="3E12B675" w:rsidR="00275E7F" w:rsidRPr="00275E7F" w:rsidRDefault="00275E7F" w:rsidP="00275E7F">
            <w:pPr>
              <w:numPr>
                <w:ilvl w:val="0"/>
                <w:numId w:val="4"/>
              </w:numPr>
              <w:tabs>
                <w:tab w:val="clear" w:pos="720"/>
              </w:tabs>
              <w:ind w:left="306"/>
              <w:jc w:val="both"/>
              <w:rPr>
                <w:rFonts w:eastAsia="Times"/>
                <w:sz w:val="18"/>
                <w:szCs w:val="18"/>
                <w:lang w:val="en-US"/>
              </w:rPr>
            </w:pPr>
            <w:r w:rsidRPr="00275E7F">
              <w:rPr>
                <w:rFonts w:eastAsia="Times"/>
                <w:sz w:val="18"/>
                <w:szCs w:val="18"/>
                <w:lang w:val="en-US"/>
              </w:rPr>
              <w:t>Temporary hotel and restaurant closures.</w:t>
            </w:r>
          </w:p>
          <w:p w14:paraId="0A0EDE61" w14:textId="56964E16" w:rsidR="00275E7F" w:rsidRPr="00275E7F" w:rsidRDefault="00275E7F" w:rsidP="00275E7F">
            <w:pPr>
              <w:numPr>
                <w:ilvl w:val="0"/>
                <w:numId w:val="4"/>
              </w:numPr>
              <w:tabs>
                <w:tab w:val="clear" w:pos="720"/>
              </w:tabs>
              <w:ind w:left="306"/>
              <w:jc w:val="both"/>
              <w:rPr>
                <w:rFonts w:eastAsia="Times"/>
                <w:sz w:val="18"/>
                <w:szCs w:val="18"/>
                <w:lang w:val="en-US"/>
              </w:rPr>
            </w:pPr>
            <w:r w:rsidRPr="00275E7F">
              <w:rPr>
                <w:rFonts w:eastAsia="Times"/>
                <w:sz w:val="18"/>
                <w:szCs w:val="18"/>
                <w:lang w:val="en-US"/>
              </w:rPr>
              <w:t>Reduction of employees / termination of employment.</w:t>
            </w:r>
          </w:p>
          <w:p w14:paraId="7775DB4B" w14:textId="5F3E86FE" w:rsidR="00275E7F" w:rsidRPr="00275E7F" w:rsidRDefault="00275E7F" w:rsidP="00275E7F">
            <w:pPr>
              <w:numPr>
                <w:ilvl w:val="0"/>
                <w:numId w:val="4"/>
              </w:numPr>
              <w:tabs>
                <w:tab w:val="clear" w:pos="720"/>
              </w:tabs>
              <w:ind w:left="306"/>
              <w:jc w:val="both"/>
              <w:rPr>
                <w:rFonts w:eastAsia="Times"/>
                <w:sz w:val="18"/>
                <w:szCs w:val="18"/>
                <w:lang w:val="en-US"/>
              </w:rPr>
            </w:pPr>
            <w:r w:rsidRPr="00275E7F">
              <w:rPr>
                <w:rFonts w:eastAsia="Times"/>
                <w:sz w:val="18"/>
                <w:szCs w:val="18"/>
                <w:lang w:val="en-US"/>
              </w:rPr>
              <w:t>Failed to pay for investment loans and working capital loans.</w:t>
            </w:r>
          </w:p>
          <w:p w14:paraId="3F3BF393" w14:textId="7CCDB8C7" w:rsidR="00BD19F9" w:rsidRPr="00FF3F49" w:rsidRDefault="00275E7F" w:rsidP="00275E7F">
            <w:pPr>
              <w:numPr>
                <w:ilvl w:val="0"/>
                <w:numId w:val="4"/>
              </w:numPr>
              <w:tabs>
                <w:tab w:val="clear" w:pos="720"/>
              </w:tabs>
              <w:ind w:left="306"/>
              <w:jc w:val="both"/>
              <w:rPr>
                <w:rFonts w:eastAsia="Times"/>
                <w:sz w:val="18"/>
                <w:szCs w:val="18"/>
                <w:lang w:val="en-US"/>
              </w:rPr>
            </w:pPr>
            <w:r w:rsidRPr="00275E7F">
              <w:rPr>
                <w:rFonts w:eastAsia="Times"/>
                <w:sz w:val="18"/>
                <w:szCs w:val="18"/>
                <w:lang w:val="en-US"/>
              </w:rPr>
              <w:t>Permanent closure of business.</w:t>
            </w:r>
          </w:p>
        </w:tc>
      </w:tr>
    </w:tbl>
    <w:p w14:paraId="4F27FF7F" w14:textId="77777777" w:rsidR="005747B2" w:rsidRDefault="005747B2" w:rsidP="005747B2">
      <w:pPr>
        <w:jc w:val="center"/>
        <w:rPr>
          <w:rFonts w:eastAsia="Times"/>
        </w:rPr>
      </w:pPr>
      <w:r w:rsidRPr="00291058">
        <w:rPr>
          <w:rFonts w:eastAsia="Times"/>
        </w:rPr>
        <w:t xml:space="preserve">Source: </w:t>
      </w:r>
      <w:r>
        <w:rPr>
          <w:rFonts w:eastAsia="Times"/>
        </w:rPr>
        <w:t>Bappenas RI, 2020</w:t>
      </w:r>
    </w:p>
    <w:p w14:paraId="2830197C" w14:textId="77777777" w:rsidR="00592C5A" w:rsidRDefault="00592C5A" w:rsidP="008800F5">
      <w:pPr>
        <w:rPr>
          <w:rFonts w:eastAsia="Times"/>
        </w:rPr>
      </w:pPr>
    </w:p>
    <w:p w14:paraId="52927549" w14:textId="335CE38A" w:rsidR="00C52397" w:rsidRDefault="008B7BE4" w:rsidP="00C52397">
      <w:pPr>
        <w:ind w:firstLine="360"/>
        <w:jc w:val="both"/>
        <w:rPr>
          <w:rFonts w:eastAsia="Times"/>
        </w:rPr>
      </w:pPr>
      <w:r w:rsidRPr="008B7BE4">
        <w:rPr>
          <w:rFonts w:eastAsia="Times"/>
        </w:rPr>
        <w:t xml:space="preserve">The government has responded to various impacts, in this case the authority is the Ministry of Tourism and Creative Economy, which divides the three conditions of the Covid-19 pandemic into three parts, namely emergency response conditions, adaptation conditions, and recovery conditions </w:t>
      </w:r>
      <w:r w:rsidR="00AB32D0">
        <w:rPr>
          <w:rFonts w:eastAsia="Times"/>
        </w:rPr>
        <w:t>[</w:t>
      </w:r>
      <w:r w:rsidR="007634F0">
        <w:rPr>
          <w:rFonts w:eastAsia="Times"/>
        </w:rPr>
        <w:t>2</w:t>
      </w:r>
      <w:r w:rsidR="0046252B">
        <w:rPr>
          <w:rFonts w:eastAsia="Times"/>
        </w:rPr>
        <w:t>1</w:t>
      </w:r>
      <w:r w:rsidR="00AB32D0">
        <w:rPr>
          <w:rFonts w:eastAsia="Times"/>
        </w:rPr>
        <w:t>]</w:t>
      </w:r>
      <w:r w:rsidR="00990CA0">
        <w:rPr>
          <w:rFonts w:eastAsia="Times"/>
        </w:rPr>
        <w:t>:</w:t>
      </w:r>
    </w:p>
    <w:p w14:paraId="78732C6A" w14:textId="77777777" w:rsidR="00C0028F" w:rsidRDefault="00C0028F" w:rsidP="00C52397">
      <w:pPr>
        <w:ind w:firstLine="360"/>
        <w:jc w:val="both"/>
        <w:rPr>
          <w:rFonts w:eastAsia="Times"/>
        </w:rPr>
      </w:pPr>
    </w:p>
    <w:p w14:paraId="3CCF516A" w14:textId="1F9FBF78" w:rsidR="00C0028F" w:rsidRDefault="00C0028F" w:rsidP="00C0028F">
      <w:pPr>
        <w:jc w:val="center"/>
        <w:rPr>
          <w:rFonts w:eastAsia="Times"/>
        </w:rPr>
      </w:pPr>
      <w:r>
        <w:rPr>
          <w:rFonts w:eastAsia="Times"/>
        </w:rPr>
        <w:t>TABLE</w:t>
      </w:r>
      <w:r w:rsidRPr="00C848EC">
        <w:rPr>
          <w:rFonts w:eastAsia="Times"/>
        </w:rPr>
        <w:t xml:space="preserve"> </w:t>
      </w:r>
      <w:r w:rsidR="00117B27">
        <w:rPr>
          <w:rFonts w:eastAsia="Times"/>
        </w:rPr>
        <w:t>3</w:t>
      </w:r>
      <w:r w:rsidRPr="00C848EC">
        <w:rPr>
          <w:rFonts w:eastAsia="Times"/>
        </w:rPr>
        <w:t xml:space="preserve">. </w:t>
      </w:r>
      <w:r w:rsidR="00F21BE6" w:rsidRPr="00F21BE6">
        <w:rPr>
          <w:rFonts w:eastAsia="Times"/>
        </w:rPr>
        <w:t>Distribution of conditions for the impact of Covid-19 on tourism in Indonesia</w:t>
      </w:r>
    </w:p>
    <w:tbl>
      <w:tblPr>
        <w:tblW w:w="7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600"/>
        <w:gridCol w:w="2520"/>
        <w:gridCol w:w="2250"/>
      </w:tblGrid>
      <w:tr w:rsidR="000B2A98" w:rsidRPr="000B2A98" w14:paraId="69D8BDF9" w14:textId="77777777" w:rsidTr="006E42BC">
        <w:trPr>
          <w:trHeight w:val="412"/>
        </w:trPr>
        <w:tc>
          <w:tcPr>
            <w:tcW w:w="2600" w:type="dxa"/>
            <w:shd w:val="clear" w:color="auto" w:fill="auto"/>
            <w:tcMar>
              <w:top w:w="72" w:type="dxa"/>
              <w:left w:w="144" w:type="dxa"/>
              <w:bottom w:w="72" w:type="dxa"/>
              <w:right w:w="144" w:type="dxa"/>
            </w:tcMar>
            <w:vAlign w:val="center"/>
            <w:hideMark/>
          </w:tcPr>
          <w:p w14:paraId="7608628A" w14:textId="65E87A4C" w:rsidR="000B2A98" w:rsidRPr="000B2A98" w:rsidRDefault="00FA0ADD" w:rsidP="000B2A98">
            <w:pPr>
              <w:jc w:val="center"/>
              <w:rPr>
                <w:rFonts w:eastAsia="Times"/>
                <w:sz w:val="18"/>
                <w:szCs w:val="18"/>
                <w:lang w:val="en-US"/>
              </w:rPr>
            </w:pPr>
            <w:r w:rsidRPr="00FA0ADD">
              <w:rPr>
                <w:rFonts w:eastAsia="Times"/>
                <w:b/>
                <w:bCs/>
                <w:sz w:val="18"/>
                <w:szCs w:val="18"/>
                <w:lang w:val="en-US"/>
              </w:rPr>
              <w:t>Covid-19 Emergency Response Conditions</w:t>
            </w:r>
          </w:p>
        </w:tc>
        <w:tc>
          <w:tcPr>
            <w:tcW w:w="2520" w:type="dxa"/>
            <w:shd w:val="clear" w:color="auto" w:fill="auto"/>
            <w:tcMar>
              <w:top w:w="72" w:type="dxa"/>
              <w:left w:w="144" w:type="dxa"/>
              <w:bottom w:w="72" w:type="dxa"/>
              <w:right w:w="144" w:type="dxa"/>
            </w:tcMar>
            <w:vAlign w:val="center"/>
            <w:hideMark/>
          </w:tcPr>
          <w:p w14:paraId="3AB94484" w14:textId="5FAE3560" w:rsidR="000B2A98" w:rsidRPr="000B2A98" w:rsidRDefault="00FA0ADD" w:rsidP="000B2A98">
            <w:pPr>
              <w:jc w:val="center"/>
              <w:rPr>
                <w:rFonts w:eastAsia="Times"/>
                <w:sz w:val="18"/>
                <w:szCs w:val="18"/>
                <w:lang w:val="en-US"/>
              </w:rPr>
            </w:pPr>
            <w:r w:rsidRPr="00FA0ADD">
              <w:rPr>
                <w:rFonts w:eastAsia="Times"/>
                <w:b/>
                <w:bCs/>
                <w:sz w:val="18"/>
                <w:szCs w:val="18"/>
                <w:lang w:val="en-US"/>
              </w:rPr>
              <w:t>Adaptation Conditions</w:t>
            </w:r>
          </w:p>
        </w:tc>
        <w:tc>
          <w:tcPr>
            <w:tcW w:w="2250" w:type="dxa"/>
            <w:shd w:val="clear" w:color="auto" w:fill="auto"/>
            <w:tcMar>
              <w:top w:w="72" w:type="dxa"/>
              <w:left w:w="144" w:type="dxa"/>
              <w:bottom w:w="72" w:type="dxa"/>
              <w:right w:w="144" w:type="dxa"/>
            </w:tcMar>
            <w:vAlign w:val="center"/>
            <w:hideMark/>
          </w:tcPr>
          <w:p w14:paraId="70864382" w14:textId="11CB824F" w:rsidR="000B2A98" w:rsidRPr="000B2A98" w:rsidRDefault="00FA0ADD" w:rsidP="00FA0ADD">
            <w:pPr>
              <w:jc w:val="center"/>
              <w:rPr>
                <w:rFonts w:eastAsia="Times"/>
                <w:sz w:val="18"/>
                <w:szCs w:val="18"/>
                <w:lang w:val="en-US"/>
              </w:rPr>
            </w:pPr>
            <w:r>
              <w:rPr>
                <w:rFonts w:eastAsia="Times"/>
                <w:b/>
                <w:bCs/>
                <w:sz w:val="18"/>
                <w:szCs w:val="18"/>
                <w:lang w:val="en-US"/>
              </w:rPr>
              <w:t>Recovery</w:t>
            </w:r>
            <w:r w:rsidRPr="00FA0ADD">
              <w:rPr>
                <w:rFonts w:eastAsia="Times"/>
                <w:b/>
                <w:bCs/>
                <w:sz w:val="18"/>
                <w:szCs w:val="18"/>
                <w:lang w:val="en-US"/>
              </w:rPr>
              <w:t xml:space="preserve"> Conditions</w:t>
            </w:r>
          </w:p>
        </w:tc>
      </w:tr>
      <w:tr w:rsidR="000B2A98" w:rsidRPr="000B2A98" w14:paraId="064036B9" w14:textId="77777777" w:rsidTr="006E42BC">
        <w:trPr>
          <w:trHeight w:val="1506"/>
        </w:trPr>
        <w:tc>
          <w:tcPr>
            <w:tcW w:w="2600" w:type="dxa"/>
            <w:shd w:val="clear" w:color="auto" w:fill="auto"/>
            <w:tcMar>
              <w:top w:w="72" w:type="dxa"/>
              <w:left w:w="144" w:type="dxa"/>
              <w:bottom w:w="72" w:type="dxa"/>
              <w:right w:w="144" w:type="dxa"/>
            </w:tcMar>
            <w:hideMark/>
          </w:tcPr>
          <w:p w14:paraId="5E5AB622" w14:textId="747D5E0D" w:rsidR="00B940DB" w:rsidRPr="00B940DB" w:rsidRDefault="00B940DB" w:rsidP="00B940DB">
            <w:pPr>
              <w:numPr>
                <w:ilvl w:val="0"/>
                <w:numId w:val="1"/>
              </w:numPr>
              <w:tabs>
                <w:tab w:val="clear" w:pos="720"/>
              </w:tabs>
              <w:ind w:left="296"/>
              <w:jc w:val="both"/>
              <w:rPr>
                <w:rFonts w:eastAsia="Times"/>
                <w:sz w:val="18"/>
                <w:szCs w:val="18"/>
                <w:lang w:val="en-US"/>
              </w:rPr>
            </w:pPr>
            <w:r w:rsidRPr="00B940DB">
              <w:rPr>
                <w:rFonts w:eastAsia="Times"/>
                <w:sz w:val="18"/>
                <w:szCs w:val="18"/>
                <w:lang w:val="en-US"/>
              </w:rPr>
              <w:t>Tourist attractions, shopping, and entertainment during the PSBB.</w:t>
            </w:r>
          </w:p>
          <w:p w14:paraId="116DCED6" w14:textId="088E212C" w:rsidR="00BD19F9" w:rsidRPr="000B2A98" w:rsidRDefault="00B940DB" w:rsidP="00B940DB">
            <w:pPr>
              <w:numPr>
                <w:ilvl w:val="0"/>
                <w:numId w:val="1"/>
              </w:numPr>
              <w:tabs>
                <w:tab w:val="clear" w:pos="720"/>
              </w:tabs>
              <w:ind w:left="296"/>
              <w:jc w:val="both"/>
              <w:rPr>
                <w:rFonts w:eastAsia="Times"/>
                <w:sz w:val="18"/>
                <w:szCs w:val="18"/>
                <w:lang w:val="en-US"/>
              </w:rPr>
            </w:pPr>
            <w:r w:rsidRPr="00B940DB">
              <w:rPr>
                <w:rFonts w:eastAsia="Times"/>
                <w:sz w:val="18"/>
                <w:szCs w:val="18"/>
                <w:lang w:val="en-US"/>
              </w:rPr>
              <w:t>Declining domestic market demand and purchasing power.</w:t>
            </w:r>
          </w:p>
        </w:tc>
        <w:tc>
          <w:tcPr>
            <w:tcW w:w="2520" w:type="dxa"/>
            <w:shd w:val="clear" w:color="auto" w:fill="auto"/>
            <w:tcMar>
              <w:top w:w="72" w:type="dxa"/>
              <w:left w:w="144" w:type="dxa"/>
              <w:bottom w:w="72" w:type="dxa"/>
              <w:right w:w="144" w:type="dxa"/>
            </w:tcMar>
            <w:hideMark/>
          </w:tcPr>
          <w:p w14:paraId="43163E0D" w14:textId="1E5965A8" w:rsidR="00B940DB" w:rsidRPr="00B940DB" w:rsidRDefault="00B940DB" w:rsidP="00B940DB">
            <w:pPr>
              <w:numPr>
                <w:ilvl w:val="0"/>
                <w:numId w:val="1"/>
              </w:numPr>
              <w:tabs>
                <w:tab w:val="clear" w:pos="720"/>
              </w:tabs>
              <w:ind w:left="306"/>
              <w:jc w:val="both"/>
              <w:rPr>
                <w:rFonts w:eastAsia="Times"/>
                <w:sz w:val="18"/>
                <w:szCs w:val="18"/>
                <w:lang w:val="en-US"/>
              </w:rPr>
            </w:pPr>
            <w:r w:rsidRPr="00B940DB">
              <w:rPr>
                <w:rFonts w:eastAsia="Times"/>
                <w:sz w:val="18"/>
                <w:szCs w:val="18"/>
                <w:lang w:val="en-US"/>
              </w:rPr>
              <w:t>Formulation of a new normal adaptation for tourism and the tourism industry.</w:t>
            </w:r>
          </w:p>
          <w:p w14:paraId="10D5512D" w14:textId="669D9EFE" w:rsidR="00BD19F9" w:rsidRPr="000B2A98" w:rsidRDefault="00B940DB" w:rsidP="00B940DB">
            <w:pPr>
              <w:numPr>
                <w:ilvl w:val="0"/>
                <w:numId w:val="1"/>
              </w:numPr>
              <w:tabs>
                <w:tab w:val="clear" w:pos="720"/>
              </w:tabs>
              <w:ind w:left="306"/>
              <w:jc w:val="both"/>
              <w:rPr>
                <w:rFonts w:eastAsia="Times"/>
                <w:sz w:val="18"/>
                <w:szCs w:val="18"/>
                <w:lang w:val="en-US"/>
              </w:rPr>
            </w:pPr>
            <w:r w:rsidRPr="00B940DB">
              <w:rPr>
                <w:rFonts w:eastAsia="Times"/>
                <w:sz w:val="18"/>
                <w:szCs w:val="18"/>
                <w:lang w:val="en-US"/>
              </w:rPr>
              <w:t>Formulation of Clean, Health, and Safety in Implementation in the Tourism Industry.</w:t>
            </w:r>
          </w:p>
        </w:tc>
        <w:tc>
          <w:tcPr>
            <w:tcW w:w="2250" w:type="dxa"/>
            <w:shd w:val="clear" w:color="auto" w:fill="auto"/>
            <w:tcMar>
              <w:top w:w="72" w:type="dxa"/>
              <w:left w:w="144" w:type="dxa"/>
              <w:bottom w:w="72" w:type="dxa"/>
              <w:right w:w="144" w:type="dxa"/>
            </w:tcMar>
            <w:hideMark/>
          </w:tcPr>
          <w:p w14:paraId="5F581668" w14:textId="595E3BD1" w:rsidR="00B940DB" w:rsidRPr="00B940DB" w:rsidRDefault="00B940DB" w:rsidP="00B940DB">
            <w:pPr>
              <w:numPr>
                <w:ilvl w:val="0"/>
                <w:numId w:val="1"/>
              </w:numPr>
              <w:tabs>
                <w:tab w:val="clear" w:pos="720"/>
              </w:tabs>
              <w:ind w:left="306"/>
              <w:jc w:val="both"/>
              <w:rPr>
                <w:rFonts w:eastAsia="Times"/>
                <w:sz w:val="18"/>
                <w:szCs w:val="18"/>
                <w:lang w:val="en-US"/>
              </w:rPr>
            </w:pPr>
            <w:r w:rsidRPr="00B940DB">
              <w:rPr>
                <w:rFonts w:eastAsia="Times"/>
                <w:sz w:val="18"/>
                <w:szCs w:val="18"/>
                <w:lang w:val="en-US"/>
              </w:rPr>
              <w:t>Easing PSBB.</w:t>
            </w:r>
          </w:p>
          <w:p w14:paraId="516084D9" w14:textId="0F29B6A4" w:rsidR="00B940DB" w:rsidRPr="00B940DB" w:rsidRDefault="00B940DB" w:rsidP="00B940DB">
            <w:pPr>
              <w:numPr>
                <w:ilvl w:val="0"/>
                <w:numId w:val="1"/>
              </w:numPr>
              <w:tabs>
                <w:tab w:val="clear" w:pos="720"/>
              </w:tabs>
              <w:ind w:left="306"/>
              <w:jc w:val="both"/>
              <w:rPr>
                <w:rFonts w:eastAsia="Times"/>
                <w:sz w:val="18"/>
                <w:szCs w:val="18"/>
                <w:lang w:val="en-US"/>
              </w:rPr>
            </w:pPr>
            <w:r w:rsidRPr="00B940DB">
              <w:rPr>
                <w:rFonts w:eastAsia="Times"/>
                <w:sz w:val="18"/>
                <w:szCs w:val="18"/>
                <w:lang w:val="en-US"/>
              </w:rPr>
              <w:t xml:space="preserve">Implementation of Cleanliness, Health &amp; Safety Procedures in the </w:t>
            </w:r>
            <w:proofErr w:type="spellStart"/>
            <w:r w:rsidRPr="00B940DB">
              <w:rPr>
                <w:rFonts w:eastAsia="Times"/>
                <w:sz w:val="18"/>
                <w:szCs w:val="18"/>
                <w:lang w:val="en-US"/>
              </w:rPr>
              <w:t>parekraf</w:t>
            </w:r>
            <w:proofErr w:type="spellEnd"/>
            <w:r w:rsidRPr="00B940DB">
              <w:rPr>
                <w:rFonts w:eastAsia="Times"/>
                <w:sz w:val="18"/>
                <w:szCs w:val="18"/>
                <w:lang w:val="en-US"/>
              </w:rPr>
              <w:t xml:space="preserve"> sector.</w:t>
            </w:r>
          </w:p>
          <w:p w14:paraId="311B7ABB" w14:textId="4E5072C4" w:rsidR="00BD19F9" w:rsidRPr="000B2A98" w:rsidRDefault="00B940DB" w:rsidP="00B940DB">
            <w:pPr>
              <w:numPr>
                <w:ilvl w:val="0"/>
                <w:numId w:val="1"/>
              </w:numPr>
              <w:tabs>
                <w:tab w:val="clear" w:pos="720"/>
              </w:tabs>
              <w:ind w:left="306"/>
              <w:jc w:val="both"/>
              <w:rPr>
                <w:rFonts w:eastAsia="Times"/>
                <w:sz w:val="18"/>
                <w:szCs w:val="18"/>
                <w:lang w:val="en-US"/>
              </w:rPr>
            </w:pPr>
            <w:r w:rsidRPr="00B940DB">
              <w:rPr>
                <w:rFonts w:eastAsia="Times"/>
                <w:sz w:val="18"/>
                <w:szCs w:val="18"/>
                <w:lang w:val="en-US"/>
              </w:rPr>
              <w:t>Reactivation of Domestic Tourism.</w:t>
            </w:r>
          </w:p>
        </w:tc>
      </w:tr>
    </w:tbl>
    <w:p w14:paraId="2D74AE59" w14:textId="2FC809CF" w:rsidR="00C0028F" w:rsidRDefault="00C0028F" w:rsidP="00C0028F">
      <w:pPr>
        <w:jc w:val="center"/>
        <w:rPr>
          <w:rFonts w:eastAsia="Times"/>
        </w:rPr>
      </w:pPr>
      <w:r w:rsidRPr="00291058">
        <w:rPr>
          <w:rFonts w:eastAsia="Times"/>
        </w:rPr>
        <w:t xml:space="preserve">Source: </w:t>
      </w:r>
      <w:r>
        <w:rPr>
          <w:rFonts w:eastAsia="Times"/>
        </w:rPr>
        <w:t>Kemenparekraf RI, 2020</w:t>
      </w:r>
    </w:p>
    <w:p w14:paraId="730164A2" w14:textId="77777777" w:rsidR="008A32CD" w:rsidRDefault="008A32CD" w:rsidP="008800F5">
      <w:pPr>
        <w:ind w:firstLine="360"/>
        <w:jc w:val="both"/>
        <w:rPr>
          <w:rFonts w:eastAsia="Times"/>
        </w:rPr>
      </w:pPr>
    </w:p>
    <w:p w14:paraId="442FE5C6" w14:textId="24A7E42E" w:rsidR="00C52397" w:rsidRDefault="008B7BE4" w:rsidP="008800F5">
      <w:pPr>
        <w:ind w:firstLine="360"/>
        <w:jc w:val="both"/>
        <w:rPr>
          <w:rFonts w:eastAsia="Times"/>
        </w:rPr>
      </w:pPr>
      <w:r w:rsidRPr="008B7BE4">
        <w:rPr>
          <w:rFonts w:eastAsia="Times"/>
        </w:rPr>
        <w:t xml:space="preserve">After mapping out these three types of conditions, there are various policies to address the impact of the Covid-19 pandemic on tourism in Indonesia, which is divided into two stages, the Covid-19 emergency response program </w:t>
      </w:r>
      <w:r w:rsidR="00DC6D69">
        <w:rPr>
          <w:rFonts w:eastAsia="Times"/>
        </w:rPr>
        <w:t>and the recovery phase program</w:t>
      </w:r>
      <w:r w:rsidR="00AB32D0">
        <w:rPr>
          <w:rFonts w:eastAsia="Times"/>
        </w:rPr>
        <w:t>[</w:t>
      </w:r>
      <w:r w:rsidR="007634F0">
        <w:rPr>
          <w:rFonts w:eastAsia="Times"/>
        </w:rPr>
        <w:t>2</w:t>
      </w:r>
      <w:r w:rsidR="0046252B">
        <w:rPr>
          <w:rFonts w:eastAsia="Times"/>
        </w:rPr>
        <w:t>2</w:t>
      </w:r>
      <w:r w:rsidR="00AB32D0">
        <w:rPr>
          <w:rFonts w:eastAsia="Times"/>
        </w:rPr>
        <w:t>]:</w:t>
      </w:r>
      <w:r w:rsidR="002106E5">
        <w:rPr>
          <w:rFonts w:eastAsia="Times"/>
        </w:rPr>
        <w:t xml:space="preserve"> </w:t>
      </w:r>
    </w:p>
    <w:p w14:paraId="7043FCA6" w14:textId="77777777" w:rsidR="00A61AC0" w:rsidRDefault="00A61AC0" w:rsidP="008800F5">
      <w:pPr>
        <w:ind w:firstLine="360"/>
        <w:jc w:val="both"/>
        <w:rPr>
          <w:rFonts w:eastAsia="Times"/>
        </w:rPr>
      </w:pPr>
    </w:p>
    <w:p w14:paraId="08BB7DBA" w14:textId="105DB9DC" w:rsidR="00A61AC0" w:rsidRDefault="00A61AC0" w:rsidP="00A61AC0">
      <w:pPr>
        <w:jc w:val="center"/>
        <w:rPr>
          <w:rFonts w:eastAsia="Times"/>
        </w:rPr>
      </w:pPr>
      <w:r>
        <w:rPr>
          <w:rFonts w:eastAsia="Times"/>
        </w:rPr>
        <w:t>TABLE</w:t>
      </w:r>
      <w:r w:rsidRPr="00C848EC">
        <w:rPr>
          <w:rFonts w:eastAsia="Times"/>
        </w:rPr>
        <w:t xml:space="preserve"> </w:t>
      </w:r>
      <w:r>
        <w:rPr>
          <w:rFonts w:eastAsia="Times"/>
        </w:rPr>
        <w:t>4</w:t>
      </w:r>
      <w:r w:rsidRPr="00C848EC">
        <w:rPr>
          <w:rFonts w:eastAsia="Times"/>
        </w:rPr>
        <w:t xml:space="preserve">. </w:t>
      </w:r>
      <w:r w:rsidR="00404756" w:rsidRPr="00404756">
        <w:rPr>
          <w:rFonts w:eastAsia="Times"/>
        </w:rPr>
        <w:t>Covid-19 prevention program in the Indonesian tourism sector</w:t>
      </w:r>
    </w:p>
    <w:tbl>
      <w:tblPr>
        <w:tblW w:w="7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955"/>
        <w:gridCol w:w="3415"/>
      </w:tblGrid>
      <w:tr w:rsidR="00843025" w:rsidRPr="00843025" w14:paraId="5ADDED4B" w14:textId="77777777" w:rsidTr="00586F43">
        <w:trPr>
          <w:trHeight w:val="340"/>
        </w:trPr>
        <w:tc>
          <w:tcPr>
            <w:tcW w:w="3955" w:type="dxa"/>
            <w:shd w:val="clear" w:color="auto" w:fill="auto"/>
            <w:tcMar>
              <w:top w:w="72" w:type="dxa"/>
              <w:left w:w="144" w:type="dxa"/>
              <w:bottom w:w="72" w:type="dxa"/>
              <w:right w:w="144" w:type="dxa"/>
            </w:tcMar>
            <w:vAlign w:val="center"/>
            <w:hideMark/>
          </w:tcPr>
          <w:p w14:paraId="51E66C86" w14:textId="72872FBE" w:rsidR="00843025" w:rsidRPr="000C66FB" w:rsidRDefault="0045427F" w:rsidP="006C4962">
            <w:pPr>
              <w:jc w:val="center"/>
              <w:rPr>
                <w:rFonts w:eastAsia="Times"/>
                <w:sz w:val="18"/>
                <w:szCs w:val="18"/>
                <w:lang w:val="en-US"/>
              </w:rPr>
            </w:pPr>
            <w:r w:rsidRPr="0045427F">
              <w:rPr>
                <w:rFonts w:eastAsia="Times"/>
                <w:b/>
                <w:bCs/>
                <w:sz w:val="18"/>
                <w:szCs w:val="18"/>
                <w:lang w:val="en-US"/>
              </w:rPr>
              <w:t xml:space="preserve">Covid-19 Emergency Response Phase Program </w:t>
            </w:r>
            <w:r w:rsidR="00843025" w:rsidRPr="000C66FB">
              <w:rPr>
                <w:rFonts w:eastAsia="Times"/>
                <w:b/>
                <w:bCs/>
                <w:sz w:val="18"/>
                <w:szCs w:val="18"/>
                <w:lang w:val="en-US"/>
              </w:rPr>
              <w:t>(Outbreak)</w:t>
            </w:r>
          </w:p>
        </w:tc>
        <w:tc>
          <w:tcPr>
            <w:tcW w:w="3415" w:type="dxa"/>
            <w:shd w:val="clear" w:color="auto" w:fill="auto"/>
            <w:tcMar>
              <w:top w:w="72" w:type="dxa"/>
              <w:left w:w="144" w:type="dxa"/>
              <w:bottom w:w="72" w:type="dxa"/>
              <w:right w:w="144" w:type="dxa"/>
            </w:tcMar>
            <w:vAlign w:val="center"/>
            <w:hideMark/>
          </w:tcPr>
          <w:p w14:paraId="0FDE3683" w14:textId="2E7A3455" w:rsidR="00843025" w:rsidRPr="000C66FB" w:rsidRDefault="0045427F" w:rsidP="0045427F">
            <w:pPr>
              <w:jc w:val="center"/>
              <w:rPr>
                <w:rFonts w:eastAsia="Times"/>
                <w:sz w:val="18"/>
                <w:szCs w:val="18"/>
                <w:lang w:val="en-US"/>
              </w:rPr>
            </w:pPr>
            <w:r w:rsidRPr="0045427F">
              <w:rPr>
                <w:rFonts w:eastAsia="Times"/>
                <w:b/>
                <w:bCs/>
                <w:sz w:val="18"/>
                <w:szCs w:val="18"/>
                <w:lang w:val="en-US"/>
              </w:rPr>
              <w:t xml:space="preserve">Recovery </w:t>
            </w:r>
            <w:r>
              <w:rPr>
                <w:rFonts w:eastAsia="Times"/>
                <w:b/>
                <w:bCs/>
                <w:sz w:val="18"/>
                <w:szCs w:val="18"/>
                <w:lang w:val="en-US"/>
              </w:rPr>
              <w:t>Phase</w:t>
            </w:r>
            <w:r w:rsidRPr="0045427F">
              <w:rPr>
                <w:rFonts w:eastAsia="Times"/>
                <w:b/>
                <w:bCs/>
                <w:sz w:val="18"/>
                <w:szCs w:val="18"/>
                <w:lang w:val="en-US"/>
              </w:rPr>
              <w:t xml:space="preserve"> Program </w:t>
            </w:r>
            <w:r w:rsidR="00843025" w:rsidRPr="000C66FB">
              <w:rPr>
                <w:rFonts w:eastAsia="Times"/>
                <w:b/>
                <w:bCs/>
                <w:sz w:val="18"/>
                <w:szCs w:val="18"/>
                <w:lang w:val="en-US"/>
              </w:rPr>
              <w:t>(Recovery)</w:t>
            </w:r>
          </w:p>
        </w:tc>
      </w:tr>
      <w:tr w:rsidR="00843025" w:rsidRPr="00843025" w14:paraId="79F059B8" w14:textId="77777777" w:rsidTr="00A61B20">
        <w:trPr>
          <w:trHeight w:val="1970"/>
        </w:trPr>
        <w:tc>
          <w:tcPr>
            <w:tcW w:w="3955" w:type="dxa"/>
            <w:shd w:val="clear" w:color="auto" w:fill="auto"/>
            <w:tcMar>
              <w:top w:w="72" w:type="dxa"/>
              <w:left w:w="144" w:type="dxa"/>
              <w:bottom w:w="72" w:type="dxa"/>
              <w:right w:w="144" w:type="dxa"/>
            </w:tcMar>
            <w:hideMark/>
          </w:tcPr>
          <w:p w14:paraId="04CA5566" w14:textId="1C597DBE" w:rsidR="005B354C" w:rsidRPr="005B354C" w:rsidRDefault="005B354C" w:rsidP="005B354C">
            <w:pPr>
              <w:numPr>
                <w:ilvl w:val="0"/>
                <w:numId w:val="2"/>
              </w:numPr>
              <w:tabs>
                <w:tab w:val="clear" w:pos="720"/>
              </w:tabs>
              <w:ind w:left="386"/>
              <w:jc w:val="both"/>
              <w:rPr>
                <w:rFonts w:eastAsia="Times"/>
                <w:sz w:val="18"/>
                <w:szCs w:val="18"/>
                <w:lang w:val="en-US"/>
              </w:rPr>
            </w:pPr>
            <w:r w:rsidRPr="005B354C">
              <w:rPr>
                <w:rFonts w:eastAsia="Times"/>
                <w:sz w:val="18"/>
                <w:szCs w:val="18"/>
                <w:lang w:val="en-US"/>
              </w:rPr>
              <w:t xml:space="preserve">Support of </w:t>
            </w:r>
            <w:proofErr w:type="spellStart"/>
            <w:r w:rsidR="00D91DEF">
              <w:rPr>
                <w:rFonts w:eastAsia="Times"/>
                <w:sz w:val="18"/>
                <w:szCs w:val="18"/>
                <w:lang w:val="en-US"/>
              </w:rPr>
              <w:t>C</w:t>
            </w:r>
            <w:r w:rsidRPr="005B354C">
              <w:rPr>
                <w:rFonts w:eastAsia="Times"/>
                <w:sz w:val="18"/>
                <w:szCs w:val="18"/>
                <w:lang w:val="en-US"/>
              </w:rPr>
              <w:t>ovid</w:t>
            </w:r>
            <w:proofErr w:type="spellEnd"/>
            <w:r w:rsidRPr="005B354C">
              <w:rPr>
                <w:rFonts w:eastAsia="Times"/>
                <w:sz w:val="18"/>
                <w:szCs w:val="18"/>
                <w:lang w:val="en-US"/>
              </w:rPr>
              <w:t xml:space="preserve"> </w:t>
            </w:r>
            <w:r w:rsidR="00D91DEF">
              <w:rPr>
                <w:rFonts w:eastAsia="Times"/>
                <w:sz w:val="18"/>
                <w:szCs w:val="18"/>
                <w:lang w:val="en-US"/>
              </w:rPr>
              <w:t>H</w:t>
            </w:r>
            <w:r w:rsidRPr="005B354C">
              <w:rPr>
                <w:rFonts w:eastAsia="Times"/>
                <w:sz w:val="18"/>
                <w:szCs w:val="18"/>
                <w:lang w:val="en-US"/>
              </w:rPr>
              <w:t xml:space="preserve">andling task force (purchase of accommodation, transportation and </w:t>
            </w:r>
            <w:r w:rsidR="009B73A3">
              <w:rPr>
                <w:rFonts w:eastAsia="Times"/>
                <w:sz w:val="18"/>
                <w:szCs w:val="18"/>
                <w:lang w:val="en-US"/>
              </w:rPr>
              <w:t>F</w:t>
            </w:r>
            <w:r w:rsidRPr="005B354C">
              <w:rPr>
                <w:rFonts w:eastAsia="Times"/>
                <w:sz w:val="18"/>
                <w:szCs w:val="18"/>
                <w:lang w:val="en-US"/>
              </w:rPr>
              <w:t>&amp;</w:t>
            </w:r>
            <w:r w:rsidR="009B73A3">
              <w:rPr>
                <w:rFonts w:eastAsia="Times"/>
                <w:sz w:val="18"/>
                <w:szCs w:val="18"/>
                <w:lang w:val="en-US"/>
              </w:rPr>
              <w:t>B</w:t>
            </w:r>
            <w:r w:rsidRPr="005B354C">
              <w:rPr>
                <w:rFonts w:eastAsia="Times"/>
                <w:sz w:val="18"/>
                <w:szCs w:val="18"/>
                <w:lang w:val="en-US"/>
              </w:rPr>
              <w:t>) intended for Health workers)</w:t>
            </w:r>
          </w:p>
          <w:p w14:paraId="613AE70B" w14:textId="2F4FBA98" w:rsidR="005B354C" w:rsidRPr="005B354C" w:rsidRDefault="005B354C" w:rsidP="005B354C">
            <w:pPr>
              <w:numPr>
                <w:ilvl w:val="0"/>
                <w:numId w:val="2"/>
              </w:numPr>
              <w:tabs>
                <w:tab w:val="clear" w:pos="720"/>
              </w:tabs>
              <w:ind w:left="386"/>
              <w:jc w:val="both"/>
              <w:rPr>
                <w:rFonts w:eastAsia="Times"/>
                <w:sz w:val="18"/>
                <w:szCs w:val="18"/>
                <w:lang w:val="en-US"/>
              </w:rPr>
            </w:pPr>
            <w:r w:rsidRPr="005B354C">
              <w:rPr>
                <w:rFonts w:eastAsia="Times"/>
                <w:sz w:val="18"/>
                <w:szCs w:val="18"/>
                <w:lang w:val="en-US"/>
              </w:rPr>
              <w:t>Communication strategies (domestic tourists, foreign tourists and creative economy)</w:t>
            </w:r>
          </w:p>
          <w:p w14:paraId="2BBE8BA8" w14:textId="20B61D08" w:rsidR="005B354C" w:rsidRPr="005B354C" w:rsidRDefault="005B354C" w:rsidP="005B354C">
            <w:pPr>
              <w:numPr>
                <w:ilvl w:val="0"/>
                <w:numId w:val="2"/>
              </w:numPr>
              <w:tabs>
                <w:tab w:val="clear" w:pos="720"/>
              </w:tabs>
              <w:ind w:left="386"/>
              <w:jc w:val="both"/>
              <w:rPr>
                <w:rFonts w:eastAsia="Times"/>
                <w:sz w:val="18"/>
                <w:szCs w:val="18"/>
                <w:lang w:val="en-US"/>
              </w:rPr>
            </w:pPr>
            <w:r w:rsidRPr="005B354C">
              <w:rPr>
                <w:rFonts w:eastAsia="Times"/>
                <w:sz w:val="18"/>
                <w:szCs w:val="18"/>
                <w:lang w:val="en-US"/>
              </w:rPr>
              <w:t>Webinar: market updated (in collaboration with VITO / Visit Indonesia Tourism Officer)</w:t>
            </w:r>
          </w:p>
          <w:p w14:paraId="2092CF2B" w14:textId="34B5EDCF" w:rsidR="00BD19F9" w:rsidRPr="000C66FB" w:rsidRDefault="005B354C" w:rsidP="00303361">
            <w:pPr>
              <w:numPr>
                <w:ilvl w:val="0"/>
                <w:numId w:val="2"/>
              </w:numPr>
              <w:tabs>
                <w:tab w:val="clear" w:pos="720"/>
              </w:tabs>
              <w:ind w:left="386"/>
              <w:jc w:val="both"/>
              <w:rPr>
                <w:rFonts w:eastAsia="Times"/>
                <w:sz w:val="18"/>
                <w:szCs w:val="18"/>
                <w:lang w:val="en-US"/>
              </w:rPr>
            </w:pPr>
            <w:proofErr w:type="spellStart"/>
            <w:r w:rsidRPr="005B354C">
              <w:rPr>
                <w:rFonts w:eastAsia="Times"/>
                <w:sz w:val="18"/>
                <w:szCs w:val="18"/>
                <w:lang w:val="en-US"/>
              </w:rPr>
              <w:t>Ekra</w:t>
            </w:r>
            <w:r w:rsidR="00856859">
              <w:rPr>
                <w:rFonts w:eastAsia="Times"/>
                <w:sz w:val="18"/>
                <w:szCs w:val="18"/>
                <w:lang w:val="en-US"/>
              </w:rPr>
              <w:t>f</w:t>
            </w:r>
            <w:proofErr w:type="spellEnd"/>
            <w:r w:rsidR="00856859">
              <w:rPr>
                <w:rFonts w:eastAsia="Times"/>
                <w:sz w:val="18"/>
                <w:szCs w:val="18"/>
                <w:lang w:val="en-US"/>
              </w:rPr>
              <w:t xml:space="preserve"> sector support program (#</w:t>
            </w:r>
            <w:proofErr w:type="spellStart"/>
            <w:r w:rsidR="00856859">
              <w:rPr>
                <w:rFonts w:eastAsia="Times"/>
                <w:sz w:val="18"/>
                <w:szCs w:val="18"/>
                <w:lang w:val="en-US"/>
              </w:rPr>
              <w:t>beli</w:t>
            </w:r>
            <w:r w:rsidR="00303361" w:rsidRPr="005B354C">
              <w:rPr>
                <w:rFonts w:eastAsia="Times"/>
                <w:sz w:val="18"/>
                <w:szCs w:val="18"/>
                <w:lang w:val="en-US"/>
              </w:rPr>
              <w:t>kreatiflokal</w:t>
            </w:r>
            <w:proofErr w:type="spellEnd"/>
            <w:r w:rsidR="00303361" w:rsidRPr="005B354C">
              <w:rPr>
                <w:rFonts w:eastAsia="Times"/>
                <w:sz w:val="18"/>
                <w:szCs w:val="18"/>
                <w:lang w:val="en-US"/>
              </w:rPr>
              <w:t xml:space="preserve"> </w:t>
            </w:r>
            <w:r w:rsidRPr="005B354C">
              <w:rPr>
                <w:rFonts w:eastAsia="Times"/>
                <w:sz w:val="18"/>
                <w:szCs w:val="18"/>
                <w:lang w:val="en-US"/>
              </w:rPr>
              <w:t xml:space="preserve">&amp; </w:t>
            </w:r>
            <w:proofErr w:type="spellStart"/>
            <w:r w:rsidR="00303361">
              <w:rPr>
                <w:rFonts w:eastAsia="Times"/>
                <w:sz w:val="18"/>
                <w:szCs w:val="18"/>
                <w:lang w:val="en-US"/>
              </w:rPr>
              <w:t>ada</w:t>
            </w:r>
            <w:proofErr w:type="spellEnd"/>
            <w:r w:rsidR="00303361">
              <w:rPr>
                <w:rFonts w:eastAsia="Times"/>
                <w:sz w:val="18"/>
                <w:szCs w:val="18"/>
                <w:lang w:val="en-US"/>
              </w:rPr>
              <w:t xml:space="preserve"> di </w:t>
            </w:r>
            <w:proofErr w:type="spellStart"/>
            <w:r w:rsidR="00303361">
              <w:rPr>
                <w:rFonts w:eastAsia="Times"/>
                <w:sz w:val="18"/>
                <w:szCs w:val="18"/>
                <w:lang w:val="en-US"/>
              </w:rPr>
              <w:t>warung</w:t>
            </w:r>
            <w:proofErr w:type="spellEnd"/>
            <w:r w:rsidRPr="005B354C">
              <w:rPr>
                <w:rFonts w:eastAsia="Times"/>
                <w:sz w:val="18"/>
                <w:szCs w:val="18"/>
                <w:lang w:val="en-US"/>
              </w:rPr>
              <w:t>)</w:t>
            </w:r>
          </w:p>
        </w:tc>
        <w:tc>
          <w:tcPr>
            <w:tcW w:w="3415" w:type="dxa"/>
            <w:shd w:val="clear" w:color="auto" w:fill="auto"/>
            <w:tcMar>
              <w:top w:w="72" w:type="dxa"/>
              <w:left w:w="144" w:type="dxa"/>
              <w:bottom w:w="72" w:type="dxa"/>
              <w:right w:w="144" w:type="dxa"/>
            </w:tcMar>
            <w:hideMark/>
          </w:tcPr>
          <w:p w14:paraId="7ADE574D" w14:textId="1533697E" w:rsidR="005B354C" w:rsidRPr="005B354C" w:rsidRDefault="005B354C" w:rsidP="005B354C">
            <w:pPr>
              <w:numPr>
                <w:ilvl w:val="0"/>
                <w:numId w:val="2"/>
              </w:numPr>
              <w:tabs>
                <w:tab w:val="clear" w:pos="720"/>
              </w:tabs>
              <w:ind w:left="396"/>
              <w:jc w:val="both"/>
              <w:rPr>
                <w:rFonts w:eastAsia="Times"/>
                <w:sz w:val="18"/>
                <w:szCs w:val="18"/>
                <w:lang w:val="en-US"/>
              </w:rPr>
            </w:pPr>
            <w:proofErr w:type="spellStart"/>
            <w:r w:rsidRPr="005B354C">
              <w:rPr>
                <w:rFonts w:eastAsia="Times"/>
                <w:sz w:val="18"/>
                <w:szCs w:val="18"/>
                <w:lang w:val="en-US"/>
              </w:rPr>
              <w:t>Kemenparekraf's</w:t>
            </w:r>
            <w:proofErr w:type="spellEnd"/>
            <w:r w:rsidRPr="005B354C">
              <w:rPr>
                <w:rFonts w:eastAsia="Times"/>
                <w:sz w:val="18"/>
                <w:szCs w:val="18"/>
                <w:lang w:val="en-US"/>
              </w:rPr>
              <w:t xml:space="preserve"> strategic campaigns &amp; movements: Cleanliness, hea</w:t>
            </w:r>
            <w:r w:rsidR="00303361">
              <w:rPr>
                <w:rFonts w:eastAsia="Times"/>
                <w:sz w:val="18"/>
                <w:szCs w:val="18"/>
                <w:lang w:val="en-US"/>
              </w:rPr>
              <w:t>lth, safety procedures; #</w:t>
            </w:r>
            <w:proofErr w:type="spellStart"/>
            <w:r w:rsidR="00303361">
              <w:rPr>
                <w:rFonts w:eastAsia="Times"/>
                <w:sz w:val="18"/>
                <w:szCs w:val="18"/>
                <w:lang w:val="en-US"/>
              </w:rPr>
              <w:t>belik</w:t>
            </w:r>
            <w:r w:rsidRPr="005B354C">
              <w:rPr>
                <w:rFonts w:eastAsia="Times"/>
                <w:sz w:val="18"/>
                <w:szCs w:val="18"/>
                <w:lang w:val="en-US"/>
              </w:rPr>
              <w:t>reatiflokal</w:t>
            </w:r>
            <w:proofErr w:type="spellEnd"/>
            <w:r w:rsidRPr="005B354C">
              <w:rPr>
                <w:rFonts w:eastAsia="Times"/>
                <w:sz w:val="18"/>
                <w:szCs w:val="18"/>
                <w:lang w:val="en-US"/>
              </w:rPr>
              <w:t>; and #</w:t>
            </w:r>
            <w:proofErr w:type="spellStart"/>
            <w:r w:rsidRPr="005B354C">
              <w:rPr>
                <w:rFonts w:eastAsia="Times"/>
                <w:sz w:val="18"/>
                <w:szCs w:val="18"/>
                <w:lang w:val="en-US"/>
              </w:rPr>
              <w:t>diindonesiaaja</w:t>
            </w:r>
            <w:proofErr w:type="spellEnd"/>
            <w:r w:rsidRPr="005B354C">
              <w:rPr>
                <w:rFonts w:eastAsia="Times"/>
                <w:sz w:val="18"/>
                <w:szCs w:val="18"/>
                <w:lang w:val="en-US"/>
              </w:rPr>
              <w:t>.</w:t>
            </w:r>
          </w:p>
          <w:p w14:paraId="2F94C904" w14:textId="50DE3638" w:rsidR="00BD19F9" w:rsidRPr="000C66FB" w:rsidRDefault="005B354C" w:rsidP="005B354C">
            <w:pPr>
              <w:numPr>
                <w:ilvl w:val="0"/>
                <w:numId w:val="2"/>
              </w:numPr>
              <w:tabs>
                <w:tab w:val="clear" w:pos="720"/>
              </w:tabs>
              <w:ind w:left="396"/>
              <w:jc w:val="both"/>
              <w:rPr>
                <w:rFonts w:eastAsia="Times"/>
                <w:sz w:val="18"/>
                <w:szCs w:val="18"/>
                <w:lang w:val="en-US"/>
              </w:rPr>
            </w:pPr>
            <w:r w:rsidRPr="005B354C">
              <w:rPr>
                <w:rFonts w:eastAsia="Times"/>
                <w:sz w:val="18"/>
                <w:szCs w:val="18"/>
                <w:lang w:val="en-US"/>
              </w:rPr>
              <w:t xml:space="preserve">Aiming to increase public, domestic and international trust in Indonesian tourism and improve the economic capabilities of the </w:t>
            </w:r>
            <w:proofErr w:type="spellStart"/>
            <w:r w:rsidRPr="005B354C">
              <w:rPr>
                <w:rFonts w:eastAsia="Times"/>
                <w:sz w:val="18"/>
                <w:szCs w:val="18"/>
                <w:lang w:val="en-US"/>
              </w:rPr>
              <w:t>parekraf</w:t>
            </w:r>
            <w:proofErr w:type="spellEnd"/>
            <w:r w:rsidRPr="005B354C">
              <w:rPr>
                <w:rFonts w:eastAsia="Times"/>
                <w:sz w:val="18"/>
                <w:szCs w:val="18"/>
                <w:lang w:val="en-US"/>
              </w:rPr>
              <w:t xml:space="preserve"> sector in Indonesia and GDP indirectly.</w:t>
            </w:r>
          </w:p>
        </w:tc>
      </w:tr>
    </w:tbl>
    <w:p w14:paraId="33928FB1" w14:textId="29654416" w:rsidR="00843025" w:rsidRDefault="00941EA4" w:rsidP="00941EA4">
      <w:pPr>
        <w:jc w:val="center"/>
        <w:rPr>
          <w:rFonts w:eastAsia="Times"/>
        </w:rPr>
      </w:pPr>
      <w:r>
        <w:rPr>
          <w:rFonts w:eastAsia="Times"/>
        </w:rPr>
        <w:t>Source: Kemenparekraf RI, 2020</w:t>
      </w:r>
    </w:p>
    <w:p w14:paraId="7CBBEA29" w14:textId="1A5A1F47" w:rsidR="008B7BE4" w:rsidRPr="008B7BE4" w:rsidRDefault="008B7BE4" w:rsidP="008B7BE4">
      <w:pPr>
        <w:ind w:firstLine="360"/>
        <w:jc w:val="both"/>
        <w:rPr>
          <w:rFonts w:eastAsia="Times"/>
        </w:rPr>
      </w:pPr>
      <w:r w:rsidRPr="008B7BE4">
        <w:rPr>
          <w:rFonts w:eastAsia="Times"/>
        </w:rPr>
        <w:lastRenderedPageBreak/>
        <w:t>Various programs at the above stage have been running, and now the government has decided to open a tourist destination with a health protocol starting from the Bali region [23]. This decision should be properly socialized and publicized, especially through the Communication Bureau section of the Kemenparekraf organization. Based on the Regulation of the Minister of Tourism and Creative Economy / Head of the Tourism and Creative Economy Agency of the Republic of Indonesia Number 1 Year 2020 concerning the Organization and Work Procedure of the Ministry of Tourism and Creative Economy / Head of the Tourism and Creative Economy Agency, the Communication Bureau has the task of carrying out guidance and providing public information support, public relations, digital media management, and content production within the Ministry / Agency, as well as having the function of preparing guidance and providing support in the field of public information, implementing public relations, implementing digital media management, and implementing content production [24]. One of the channels to publish policies regarding the implementation of special health protocols in the tourism sector and the creative economy by Kemenparekraf is through a press release that is routinely issued on the official website https://pedulicovid19.kemenparekraf.go.id/category/info-pare</w:t>
      </w:r>
      <w:r w:rsidR="00303361">
        <w:rPr>
          <w:rFonts w:eastAsia="Times"/>
        </w:rPr>
        <w:t>kraf/siaran-</w:t>
      </w:r>
      <w:r w:rsidRPr="008B7BE4">
        <w:rPr>
          <w:rFonts w:eastAsia="Times"/>
        </w:rPr>
        <w:t>pers/.</w:t>
      </w:r>
    </w:p>
    <w:p w14:paraId="5228159D" w14:textId="50133376" w:rsidR="00941EA4" w:rsidRDefault="008B7BE4" w:rsidP="008B7BE4">
      <w:pPr>
        <w:ind w:firstLine="360"/>
        <w:jc w:val="both"/>
        <w:rPr>
          <w:rFonts w:eastAsia="Times"/>
        </w:rPr>
      </w:pPr>
      <w:r w:rsidRPr="008B7BE4">
        <w:rPr>
          <w:rFonts w:eastAsia="Times"/>
        </w:rPr>
        <w:t>There are 95 official Kemenparekraf press releases issued from 22 June 2020 to 27 July, and it can be analyzed that in general there are two main tasks and functions of Kemenparekraf namely tourism and creative economy which are the contents of the press release, as well as content that includes both basic tasks and functions. The percentage comparison of the number of press releases with the three types of content is as follows:</w:t>
      </w:r>
    </w:p>
    <w:p w14:paraId="6182D5EA" w14:textId="77777777" w:rsidR="00941EA4" w:rsidRDefault="00941EA4" w:rsidP="00116678">
      <w:pPr>
        <w:ind w:firstLine="360"/>
        <w:jc w:val="both"/>
        <w:rPr>
          <w:rFonts w:eastAsia="Times"/>
        </w:rPr>
      </w:pPr>
    </w:p>
    <w:p w14:paraId="2DB56E31" w14:textId="010D3777" w:rsidR="00941EA4" w:rsidRDefault="00941EA4" w:rsidP="00941EA4">
      <w:pPr>
        <w:jc w:val="center"/>
        <w:rPr>
          <w:rFonts w:eastAsia="Times"/>
        </w:rPr>
      </w:pPr>
      <w:r>
        <w:rPr>
          <w:rFonts w:eastAsia="Times"/>
        </w:rPr>
        <w:t>FIGURE 2</w:t>
      </w:r>
      <w:r w:rsidRPr="00C848EC">
        <w:rPr>
          <w:rFonts w:eastAsia="Times"/>
        </w:rPr>
        <w:t xml:space="preserve">. </w:t>
      </w:r>
      <w:r w:rsidR="00404756" w:rsidRPr="00856859">
        <w:rPr>
          <w:rFonts w:eastAsia="Times"/>
        </w:rPr>
        <w:t>Percentage of official press releases</w:t>
      </w:r>
      <w:r w:rsidR="00404756">
        <w:rPr>
          <w:rFonts w:eastAsia="Times"/>
        </w:rPr>
        <w:t xml:space="preserve"> by</w:t>
      </w:r>
      <w:r w:rsidR="00377969">
        <w:rPr>
          <w:rFonts w:eastAsia="Times"/>
        </w:rPr>
        <w:t xml:space="preserve"> Kemenparekraf RI</w:t>
      </w:r>
    </w:p>
    <w:p w14:paraId="5059CC6C" w14:textId="24510E2B" w:rsidR="00623843" w:rsidRDefault="00B56078" w:rsidP="00941EA4">
      <w:pPr>
        <w:jc w:val="center"/>
        <w:rPr>
          <w:rFonts w:eastAsia="Times"/>
        </w:rPr>
      </w:pPr>
      <w:r>
        <w:rPr>
          <w:noProof/>
          <w:lang w:val="en-US" w:eastAsia="en-US"/>
        </w:rPr>
        <w:drawing>
          <wp:inline distT="0" distB="0" distL="0" distR="0" wp14:anchorId="6C9398B1" wp14:editId="71A42F5A">
            <wp:extent cx="3841845" cy="1446530"/>
            <wp:effectExtent l="0" t="0" r="635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0BE4AF" w14:textId="04224628" w:rsidR="00623843" w:rsidRDefault="00377969" w:rsidP="00377969">
      <w:pPr>
        <w:jc w:val="center"/>
        <w:rPr>
          <w:rFonts w:eastAsia="Times"/>
        </w:rPr>
      </w:pPr>
      <w:r>
        <w:rPr>
          <w:rFonts w:eastAsia="Times"/>
        </w:rPr>
        <w:t>Source: Kemenparekraf RI, 2020</w:t>
      </w:r>
    </w:p>
    <w:p w14:paraId="57DAAB95" w14:textId="77777777" w:rsidR="00377969" w:rsidRDefault="00377969" w:rsidP="00377969">
      <w:pPr>
        <w:jc w:val="center"/>
        <w:rPr>
          <w:rFonts w:eastAsia="Times"/>
        </w:rPr>
      </w:pPr>
    </w:p>
    <w:p w14:paraId="08DC448E" w14:textId="0E6EA343" w:rsidR="0007275A" w:rsidRDefault="008B7BE4" w:rsidP="00116678">
      <w:pPr>
        <w:ind w:firstLine="360"/>
        <w:jc w:val="both"/>
        <w:rPr>
          <w:rFonts w:eastAsia="Times"/>
        </w:rPr>
      </w:pPr>
      <w:r w:rsidRPr="008B7BE4">
        <w:rPr>
          <w:rFonts w:eastAsia="Times"/>
        </w:rPr>
        <w:t>From a</w:t>
      </w:r>
      <w:r w:rsidR="00103071">
        <w:rPr>
          <w:rFonts w:eastAsia="Times"/>
        </w:rPr>
        <w:t> </w:t>
      </w:r>
      <w:r w:rsidRPr="008B7BE4">
        <w:rPr>
          <w:rFonts w:eastAsia="Times"/>
        </w:rPr>
        <w:t>tourism</w:t>
      </w:r>
      <w:r w:rsidR="00103071">
        <w:rPr>
          <w:rFonts w:eastAsia="Times"/>
        </w:rPr>
        <w:t>-</w:t>
      </w:r>
      <w:r w:rsidR="00D37648">
        <w:rPr>
          <w:rFonts w:eastAsia="Times"/>
        </w:rPr>
        <w:t>theme</w:t>
      </w:r>
      <w:r w:rsidR="00103071">
        <w:rPr>
          <w:rFonts w:eastAsia="Times"/>
        </w:rPr>
        <w:t>d</w:t>
      </w:r>
      <w:r w:rsidRPr="008B7BE4">
        <w:rPr>
          <w:rFonts w:eastAsia="Times"/>
        </w:rPr>
        <w:t xml:space="preserve"> press release, </w:t>
      </w:r>
      <w:r w:rsidR="00303361">
        <w:rPr>
          <w:rFonts w:eastAsia="Times"/>
        </w:rPr>
        <w:t xml:space="preserve">the </w:t>
      </w:r>
      <w:r w:rsidRPr="008B7BE4">
        <w:rPr>
          <w:rFonts w:eastAsia="Times"/>
        </w:rPr>
        <w:t>researchers divided the content into two parts, namely content specifically discussing the application of special health protocols in the tourism sector and other tourism content. Based on the analysis, the percentage of distribution is as follows:</w:t>
      </w:r>
    </w:p>
    <w:p w14:paraId="2BA75858" w14:textId="77777777" w:rsidR="008B7BE4" w:rsidRDefault="008B7BE4" w:rsidP="00116678">
      <w:pPr>
        <w:ind w:firstLine="360"/>
        <w:jc w:val="both"/>
        <w:rPr>
          <w:rFonts w:eastAsia="Times"/>
        </w:rPr>
      </w:pPr>
    </w:p>
    <w:p w14:paraId="45A3B657" w14:textId="77777777" w:rsidR="00F23E7B" w:rsidRDefault="00F23E7B" w:rsidP="00116678">
      <w:pPr>
        <w:ind w:firstLine="360"/>
        <w:jc w:val="both"/>
        <w:rPr>
          <w:rFonts w:eastAsia="Times"/>
        </w:rPr>
      </w:pPr>
    </w:p>
    <w:p w14:paraId="3496FFCC" w14:textId="77777777" w:rsidR="00F23E7B" w:rsidRDefault="00F23E7B" w:rsidP="00116678">
      <w:pPr>
        <w:ind w:firstLine="360"/>
        <w:jc w:val="both"/>
        <w:rPr>
          <w:rFonts w:eastAsia="Times"/>
        </w:rPr>
      </w:pPr>
    </w:p>
    <w:p w14:paraId="1FE006EF" w14:textId="77777777" w:rsidR="00F23E7B" w:rsidRDefault="00F23E7B" w:rsidP="00116678">
      <w:pPr>
        <w:ind w:firstLine="360"/>
        <w:jc w:val="both"/>
        <w:rPr>
          <w:rFonts w:eastAsia="Times"/>
        </w:rPr>
      </w:pPr>
    </w:p>
    <w:p w14:paraId="7076BFC9" w14:textId="77777777" w:rsidR="00F23E7B" w:rsidRDefault="00F23E7B" w:rsidP="00116678">
      <w:pPr>
        <w:ind w:firstLine="360"/>
        <w:jc w:val="both"/>
        <w:rPr>
          <w:rFonts w:eastAsia="Times"/>
        </w:rPr>
      </w:pPr>
    </w:p>
    <w:p w14:paraId="16A86E5E" w14:textId="77777777" w:rsidR="00F23E7B" w:rsidRDefault="00F23E7B" w:rsidP="00116678">
      <w:pPr>
        <w:ind w:firstLine="360"/>
        <w:jc w:val="both"/>
        <w:rPr>
          <w:rFonts w:eastAsia="Times"/>
        </w:rPr>
      </w:pPr>
    </w:p>
    <w:p w14:paraId="569ED8CD" w14:textId="77777777" w:rsidR="00F23E7B" w:rsidRDefault="00F23E7B" w:rsidP="00116678">
      <w:pPr>
        <w:ind w:firstLine="360"/>
        <w:jc w:val="both"/>
        <w:rPr>
          <w:rFonts w:eastAsia="Times"/>
        </w:rPr>
      </w:pPr>
    </w:p>
    <w:p w14:paraId="26F00358" w14:textId="77777777" w:rsidR="00F23E7B" w:rsidRDefault="00F23E7B" w:rsidP="00116678">
      <w:pPr>
        <w:ind w:firstLine="360"/>
        <w:jc w:val="both"/>
        <w:rPr>
          <w:rFonts w:eastAsia="Times"/>
        </w:rPr>
      </w:pPr>
    </w:p>
    <w:p w14:paraId="60BD1CC3" w14:textId="77777777" w:rsidR="00F23E7B" w:rsidRDefault="00F23E7B" w:rsidP="00116678">
      <w:pPr>
        <w:ind w:firstLine="360"/>
        <w:jc w:val="both"/>
        <w:rPr>
          <w:rFonts w:eastAsia="Times"/>
        </w:rPr>
      </w:pPr>
    </w:p>
    <w:p w14:paraId="0BCE6A9A" w14:textId="3D86EDAD" w:rsidR="0007275A" w:rsidRDefault="0007275A" w:rsidP="0007275A">
      <w:pPr>
        <w:jc w:val="center"/>
        <w:rPr>
          <w:rFonts w:eastAsia="Times"/>
        </w:rPr>
      </w:pPr>
      <w:r>
        <w:rPr>
          <w:rFonts w:eastAsia="Times"/>
        </w:rPr>
        <w:lastRenderedPageBreak/>
        <w:t>FIGURE 3</w:t>
      </w:r>
      <w:r w:rsidRPr="00C848EC">
        <w:rPr>
          <w:rFonts w:eastAsia="Times"/>
        </w:rPr>
        <w:t xml:space="preserve">. </w:t>
      </w:r>
      <w:r w:rsidR="00856859" w:rsidRPr="00856859">
        <w:rPr>
          <w:rFonts w:eastAsia="Times"/>
        </w:rPr>
        <w:t>Percentage of official press releases</w:t>
      </w:r>
      <w:r w:rsidR="00856859">
        <w:rPr>
          <w:rFonts w:eastAsia="Times"/>
        </w:rPr>
        <w:t xml:space="preserve"> by</w:t>
      </w:r>
      <w:r>
        <w:rPr>
          <w:rFonts w:eastAsia="Times"/>
        </w:rPr>
        <w:t xml:space="preserve"> Kemenparekraf RI</w:t>
      </w:r>
      <w:r w:rsidR="00307E35">
        <w:rPr>
          <w:rFonts w:eastAsia="Times"/>
        </w:rPr>
        <w:t xml:space="preserve"> 2</w:t>
      </w:r>
    </w:p>
    <w:p w14:paraId="465D7E02" w14:textId="644E2280" w:rsidR="001C4E7A" w:rsidRDefault="0042322B" w:rsidP="00AA3EE9">
      <w:pPr>
        <w:jc w:val="center"/>
        <w:rPr>
          <w:rFonts w:eastAsia="Times"/>
        </w:rPr>
      </w:pPr>
      <w:r>
        <w:rPr>
          <w:noProof/>
          <w:lang w:val="en-US" w:eastAsia="en-US"/>
        </w:rPr>
        <w:drawing>
          <wp:inline distT="0" distB="0" distL="0" distR="0" wp14:anchorId="248E6D95" wp14:editId="3BCD7D36">
            <wp:extent cx="3841750" cy="1880006"/>
            <wp:effectExtent l="0" t="0" r="635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8A28CD" w14:textId="77777777" w:rsidR="00307E35" w:rsidRDefault="00307E35" w:rsidP="00307E35">
      <w:pPr>
        <w:jc w:val="center"/>
        <w:rPr>
          <w:rFonts w:eastAsia="Times"/>
        </w:rPr>
      </w:pPr>
      <w:r>
        <w:rPr>
          <w:rFonts w:eastAsia="Times"/>
        </w:rPr>
        <w:t>Source: Kemenparekraf RI, 2020</w:t>
      </w:r>
    </w:p>
    <w:p w14:paraId="7BB5DEEE" w14:textId="77777777" w:rsidR="0042322B" w:rsidRDefault="0042322B" w:rsidP="00116678">
      <w:pPr>
        <w:ind w:firstLine="360"/>
        <w:jc w:val="both"/>
        <w:rPr>
          <w:rFonts w:eastAsia="Times"/>
        </w:rPr>
      </w:pPr>
    </w:p>
    <w:p w14:paraId="3EC4B14C" w14:textId="6FF1474B" w:rsidR="00104BB6" w:rsidRDefault="007F253B" w:rsidP="00116678">
      <w:pPr>
        <w:ind w:firstLine="360"/>
        <w:jc w:val="both"/>
        <w:rPr>
          <w:rFonts w:eastAsia="Times"/>
        </w:rPr>
      </w:pPr>
      <w:r w:rsidRPr="007F253B">
        <w:rPr>
          <w:rFonts w:eastAsia="Times"/>
        </w:rPr>
        <w:t>When viewed from the overall percentage, the content regarding the application of health protocol specifically for the tourism sector, amounting to 31 press releases has a percentage of 33% of the total press release, with the recapitulation table as follows:</w:t>
      </w:r>
    </w:p>
    <w:p w14:paraId="1648FE30" w14:textId="77777777" w:rsidR="007F253B" w:rsidRDefault="007F253B" w:rsidP="00116678">
      <w:pPr>
        <w:ind w:firstLine="360"/>
        <w:jc w:val="both"/>
        <w:rPr>
          <w:rFonts w:eastAsia="Times"/>
        </w:rPr>
      </w:pPr>
    </w:p>
    <w:p w14:paraId="469D3B34" w14:textId="77777777" w:rsidR="0017117E" w:rsidRDefault="0017117E" w:rsidP="00116678">
      <w:pPr>
        <w:ind w:firstLine="360"/>
        <w:jc w:val="both"/>
        <w:rPr>
          <w:rFonts w:eastAsia="Times"/>
        </w:rPr>
      </w:pPr>
    </w:p>
    <w:p w14:paraId="18F520D8" w14:textId="77777777" w:rsidR="0017117E" w:rsidRDefault="0017117E" w:rsidP="00116678">
      <w:pPr>
        <w:ind w:firstLine="360"/>
        <w:jc w:val="both"/>
        <w:rPr>
          <w:rFonts w:eastAsia="Times"/>
        </w:rPr>
      </w:pPr>
    </w:p>
    <w:p w14:paraId="0EF9C7FA" w14:textId="77777777" w:rsidR="0017117E" w:rsidRDefault="0017117E" w:rsidP="00116678">
      <w:pPr>
        <w:ind w:firstLine="360"/>
        <w:jc w:val="both"/>
        <w:rPr>
          <w:rFonts w:eastAsia="Times"/>
        </w:rPr>
      </w:pPr>
    </w:p>
    <w:p w14:paraId="1F797C91" w14:textId="77777777" w:rsidR="0017117E" w:rsidRDefault="0017117E" w:rsidP="00116678">
      <w:pPr>
        <w:ind w:firstLine="360"/>
        <w:jc w:val="both"/>
        <w:rPr>
          <w:rFonts w:eastAsia="Times"/>
        </w:rPr>
      </w:pPr>
    </w:p>
    <w:p w14:paraId="12AC89BD" w14:textId="77777777" w:rsidR="0017117E" w:rsidRDefault="0017117E" w:rsidP="00116678">
      <w:pPr>
        <w:ind w:firstLine="360"/>
        <w:jc w:val="both"/>
        <w:rPr>
          <w:rFonts w:eastAsia="Times"/>
        </w:rPr>
      </w:pPr>
    </w:p>
    <w:p w14:paraId="002CE0F2" w14:textId="77777777" w:rsidR="0017117E" w:rsidRDefault="0017117E" w:rsidP="00116678">
      <w:pPr>
        <w:ind w:firstLine="360"/>
        <w:jc w:val="both"/>
        <w:rPr>
          <w:rFonts w:eastAsia="Times"/>
        </w:rPr>
      </w:pPr>
    </w:p>
    <w:p w14:paraId="54BE49C0" w14:textId="77777777" w:rsidR="0017117E" w:rsidRDefault="0017117E" w:rsidP="00116678">
      <w:pPr>
        <w:ind w:firstLine="360"/>
        <w:jc w:val="both"/>
        <w:rPr>
          <w:rFonts w:eastAsia="Times"/>
        </w:rPr>
      </w:pPr>
    </w:p>
    <w:p w14:paraId="2320408A" w14:textId="77777777" w:rsidR="0017117E" w:rsidRDefault="0017117E" w:rsidP="00116678">
      <w:pPr>
        <w:ind w:firstLine="360"/>
        <w:jc w:val="both"/>
        <w:rPr>
          <w:rFonts w:eastAsia="Times"/>
        </w:rPr>
      </w:pPr>
    </w:p>
    <w:p w14:paraId="2758C4AD" w14:textId="77777777" w:rsidR="0017117E" w:rsidRDefault="0017117E" w:rsidP="00116678">
      <w:pPr>
        <w:ind w:firstLine="360"/>
        <w:jc w:val="both"/>
        <w:rPr>
          <w:rFonts w:eastAsia="Times"/>
        </w:rPr>
      </w:pPr>
    </w:p>
    <w:p w14:paraId="137DF2D2" w14:textId="77777777" w:rsidR="0017117E" w:rsidRDefault="0017117E" w:rsidP="00116678">
      <w:pPr>
        <w:ind w:firstLine="360"/>
        <w:jc w:val="both"/>
        <w:rPr>
          <w:rFonts w:eastAsia="Times"/>
        </w:rPr>
      </w:pPr>
    </w:p>
    <w:p w14:paraId="61D93130" w14:textId="77777777" w:rsidR="0017117E" w:rsidRDefault="0017117E" w:rsidP="00116678">
      <w:pPr>
        <w:ind w:firstLine="360"/>
        <w:jc w:val="both"/>
        <w:rPr>
          <w:rFonts w:eastAsia="Times"/>
        </w:rPr>
      </w:pPr>
    </w:p>
    <w:p w14:paraId="6440E28A" w14:textId="77777777" w:rsidR="0017117E" w:rsidRDefault="0017117E" w:rsidP="00116678">
      <w:pPr>
        <w:ind w:firstLine="360"/>
        <w:jc w:val="both"/>
        <w:rPr>
          <w:rFonts w:eastAsia="Times"/>
        </w:rPr>
      </w:pPr>
    </w:p>
    <w:p w14:paraId="283FBBC0" w14:textId="77777777" w:rsidR="0017117E" w:rsidRDefault="0017117E" w:rsidP="00116678">
      <w:pPr>
        <w:ind w:firstLine="360"/>
        <w:jc w:val="both"/>
        <w:rPr>
          <w:rFonts w:eastAsia="Times"/>
        </w:rPr>
      </w:pPr>
    </w:p>
    <w:p w14:paraId="301272A4" w14:textId="77777777" w:rsidR="0017117E" w:rsidRDefault="0017117E" w:rsidP="00116678">
      <w:pPr>
        <w:ind w:firstLine="360"/>
        <w:jc w:val="both"/>
        <w:rPr>
          <w:rFonts w:eastAsia="Times"/>
        </w:rPr>
      </w:pPr>
    </w:p>
    <w:p w14:paraId="4EC4D8C4" w14:textId="77777777" w:rsidR="0017117E" w:rsidRDefault="0017117E" w:rsidP="00116678">
      <w:pPr>
        <w:ind w:firstLine="360"/>
        <w:jc w:val="both"/>
        <w:rPr>
          <w:rFonts w:eastAsia="Times"/>
        </w:rPr>
      </w:pPr>
    </w:p>
    <w:p w14:paraId="70BCB336" w14:textId="77777777" w:rsidR="0017117E" w:rsidRDefault="0017117E" w:rsidP="00116678">
      <w:pPr>
        <w:ind w:firstLine="360"/>
        <w:jc w:val="both"/>
        <w:rPr>
          <w:rFonts w:eastAsia="Times"/>
        </w:rPr>
      </w:pPr>
    </w:p>
    <w:p w14:paraId="123420EC" w14:textId="77777777" w:rsidR="0017117E" w:rsidRDefault="0017117E" w:rsidP="00116678">
      <w:pPr>
        <w:ind w:firstLine="360"/>
        <w:jc w:val="both"/>
        <w:rPr>
          <w:rFonts w:eastAsia="Times"/>
        </w:rPr>
      </w:pPr>
    </w:p>
    <w:p w14:paraId="74DFAC69" w14:textId="77777777" w:rsidR="0017117E" w:rsidRDefault="0017117E" w:rsidP="00116678">
      <w:pPr>
        <w:ind w:firstLine="360"/>
        <w:jc w:val="both"/>
        <w:rPr>
          <w:rFonts w:eastAsia="Times"/>
        </w:rPr>
      </w:pPr>
    </w:p>
    <w:p w14:paraId="43E63E91" w14:textId="77777777" w:rsidR="0017117E" w:rsidRDefault="0017117E" w:rsidP="00116678">
      <w:pPr>
        <w:ind w:firstLine="360"/>
        <w:jc w:val="both"/>
        <w:rPr>
          <w:rFonts w:eastAsia="Times"/>
        </w:rPr>
      </w:pPr>
    </w:p>
    <w:p w14:paraId="72FB156B" w14:textId="77777777" w:rsidR="0017117E" w:rsidRDefault="0017117E" w:rsidP="00116678">
      <w:pPr>
        <w:ind w:firstLine="360"/>
        <w:jc w:val="both"/>
        <w:rPr>
          <w:rFonts w:eastAsia="Times"/>
        </w:rPr>
      </w:pPr>
    </w:p>
    <w:p w14:paraId="2571946C" w14:textId="77777777" w:rsidR="0017117E" w:rsidRDefault="0017117E" w:rsidP="00116678">
      <w:pPr>
        <w:ind w:firstLine="360"/>
        <w:jc w:val="both"/>
        <w:rPr>
          <w:rFonts w:eastAsia="Times"/>
        </w:rPr>
      </w:pPr>
    </w:p>
    <w:p w14:paraId="1157B21A" w14:textId="77777777" w:rsidR="0017117E" w:rsidRDefault="0017117E" w:rsidP="00116678">
      <w:pPr>
        <w:ind w:firstLine="360"/>
        <w:jc w:val="both"/>
        <w:rPr>
          <w:rFonts w:eastAsia="Times"/>
        </w:rPr>
      </w:pPr>
    </w:p>
    <w:p w14:paraId="6C585221" w14:textId="77777777" w:rsidR="0017117E" w:rsidRDefault="0017117E" w:rsidP="00116678">
      <w:pPr>
        <w:ind w:firstLine="360"/>
        <w:jc w:val="both"/>
        <w:rPr>
          <w:rFonts w:eastAsia="Times"/>
        </w:rPr>
      </w:pPr>
    </w:p>
    <w:p w14:paraId="1353AF28" w14:textId="77777777" w:rsidR="0017117E" w:rsidRDefault="0017117E" w:rsidP="00116678">
      <w:pPr>
        <w:ind w:firstLine="360"/>
        <w:jc w:val="both"/>
        <w:rPr>
          <w:rFonts w:eastAsia="Times"/>
        </w:rPr>
      </w:pPr>
    </w:p>
    <w:p w14:paraId="0C734C0E" w14:textId="77777777" w:rsidR="0017117E" w:rsidRDefault="0017117E" w:rsidP="00116678">
      <w:pPr>
        <w:ind w:firstLine="360"/>
        <w:jc w:val="both"/>
        <w:rPr>
          <w:rFonts w:eastAsia="Times"/>
        </w:rPr>
      </w:pPr>
    </w:p>
    <w:p w14:paraId="3E39633E" w14:textId="77777777" w:rsidR="0017117E" w:rsidRDefault="0017117E" w:rsidP="00116678">
      <w:pPr>
        <w:ind w:firstLine="360"/>
        <w:jc w:val="both"/>
        <w:rPr>
          <w:rFonts w:eastAsia="Times"/>
        </w:rPr>
      </w:pPr>
    </w:p>
    <w:p w14:paraId="3AA1172B" w14:textId="77777777" w:rsidR="0017117E" w:rsidRDefault="0017117E" w:rsidP="00116678">
      <w:pPr>
        <w:ind w:firstLine="360"/>
        <w:jc w:val="both"/>
        <w:rPr>
          <w:rFonts w:eastAsia="Times"/>
        </w:rPr>
      </w:pPr>
    </w:p>
    <w:p w14:paraId="510297B3" w14:textId="77777777" w:rsidR="0017117E" w:rsidRDefault="0017117E" w:rsidP="00116678">
      <w:pPr>
        <w:ind w:firstLine="360"/>
        <w:jc w:val="both"/>
        <w:rPr>
          <w:rFonts w:eastAsia="Times"/>
        </w:rPr>
      </w:pPr>
    </w:p>
    <w:p w14:paraId="785E0389" w14:textId="3F34E389" w:rsidR="00307E35" w:rsidRDefault="00307E35" w:rsidP="00307E35">
      <w:pPr>
        <w:jc w:val="center"/>
        <w:rPr>
          <w:rFonts w:eastAsia="Times"/>
        </w:rPr>
      </w:pPr>
      <w:r>
        <w:rPr>
          <w:rFonts w:eastAsia="Times"/>
        </w:rPr>
        <w:lastRenderedPageBreak/>
        <w:t>TABLE 5</w:t>
      </w:r>
      <w:r w:rsidRPr="00C848EC">
        <w:rPr>
          <w:rFonts w:eastAsia="Times"/>
        </w:rPr>
        <w:t xml:space="preserve">. </w:t>
      </w:r>
      <w:r w:rsidR="00A51B51" w:rsidRPr="00A51B51">
        <w:rPr>
          <w:rFonts w:eastAsia="Times"/>
        </w:rPr>
        <w:t xml:space="preserve">Recapitulation of the </w:t>
      </w:r>
      <w:r w:rsidR="00AD08FB">
        <w:rPr>
          <w:rFonts w:eastAsia="Times"/>
        </w:rPr>
        <w:t>Kemenparekraf RI</w:t>
      </w:r>
      <w:r w:rsidR="00A51B51" w:rsidRPr="00A51B51">
        <w:rPr>
          <w:rFonts w:eastAsia="Times"/>
        </w:rPr>
        <w:t xml:space="preserve"> Press Release with spec</w:t>
      </w:r>
      <w:r w:rsidR="00A51B51">
        <w:rPr>
          <w:rFonts w:eastAsia="Times"/>
        </w:rPr>
        <w:t>ific</w:t>
      </w:r>
      <w:r w:rsidR="00A51B51" w:rsidRPr="00A51B51">
        <w:rPr>
          <w:rFonts w:eastAsia="Times"/>
        </w:rPr>
        <w:t xml:space="preserve"> content</w:t>
      </w:r>
    </w:p>
    <w:p w14:paraId="613A029B" w14:textId="242F3CAC" w:rsidR="00630293" w:rsidRDefault="00630293" w:rsidP="00867084">
      <w:pPr>
        <w:jc w:val="center"/>
        <w:rPr>
          <w:rFonts w:eastAsia="Times"/>
        </w:rPr>
      </w:pPr>
      <w:r>
        <w:rPr>
          <w:noProof/>
          <w:lang w:val="en-US" w:eastAsia="en-US"/>
        </w:rPr>
        <w:drawing>
          <wp:inline distT="0" distB="0" distL="0" distR="0" wp14:anchorId="43375FF6" wp14:editId="6DAC0341">
            <wp:extent cx="4824095" cy="50694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32637" cy="5078410"/>
                    </a:xfrm>
                    <a:prstGeom prst="rect">
                      <a:avLst/>
                    </a:prstGeom>
                  </pic:spPr>
                </pic:pic>
              </a:graphicData>
            </a:graphic>
          </wp:inline>
        </w:drawing>
      </w:r>
    </w:p>
    <w:p w14:paraId="6230D54B" w14:textId="77777777" w:rsidR="00867084" w:rsidRDefault="00867084" w:rsidP="00867084">
      <w:pPr>
        <w:jc w:val="center"/>
        <w:rPr>
          <w:rFonts w:eastAsia="Times"/>
        </w:rPr>
      </w:pPr>
      <w:r>
        <w:rPr>
          <w:rFonts w:eastAsia="Times"/>
        </w:rPr>
        <w:t>Source: Kemenparekraf RI, 2020</w:t>
      </w:r>
    </w:p>
    <w:p w14:paraId="43A83730" w14:textId="77777777" w:rsidR="00104BB6" w:rsidRDefault="00104BB6" w:rsidP="00116678">
      <w:pPr>
        <w:ind w:firstLine="360"/>
        <w:jc w:val="both"/>
      </w:pPr>
    </w:p>
    <w:p w14:paraId="2AD9DB2C" w14:textId="77777777" w:rsidR="00A777E3" w:rsidRDefault="00A777E3" w:rsidP="00A777E3">
      <w:pPr>
        <w:ind w:firstLine="360"/>
        <w:jc w:val="both"/>
      </w:pPr>
      <w:r>
        <w:t>From the table above, there are four discussion points, namely:</w:t>
      </w:r>
    </w:p>
    <w:p w14:paraId="02B9FDD5" w14:textId="3E2BB64E" w:rsidR="00A777E3" w:rsidRDefault="00A777E3" w:rsidP="00A777E3">
      <w:pPr>
        <w:pStyle w:val="ListParagraph"/>
        <w:numPr>
          <w:ilvl w:val="0"/>
          <w:numId w:val="2"/>
        </w:numPr>
        <w:jc w:val="both"/>
      </w:pPr>
      <w:r>
        <w:t>Regarding the health protocol regulations in the tourism sector and the creative economy.</w:t>
      </w:r>
    </w:p>
    <w:p w14:paraId="344B7580" w14:textId="689E1768" w:rsidR="00A777E3" w:rsidRDefault="00A777E3" w:rsidP="00A777E3">
      <w:pPr>
        <w:pStyle w:val="ListParagraph"/>
        <w:numPr>
          <w:ilvl w:val="0"/>
          <w:numId w:val="2"/>
        </w:numPr>
        <w:jc w:val="both"/>
      </w:pPr>
      <w:r>
        <w:t>Readiness to apply health protocols to tourist destinations and other tourism industries and their urgency.</w:t>
      </w:r>
    </w:p>
    <w:p w14:paraId="4DE76DEB" w14:textId="4C0A4DB5" w:rsidR="00A777E3" w:rsidRDefault="00A777E3" w:rsidP="00A777E3">
      <w:pPr>
        <w:pStyle w:val="ListParagraph"/>
        <w:numPr>
          <w:ilvl w:val="0"/>
          <w:numId w:val="2"/>
        </w:numPr>
        <w:jc w:val="both"/>
      </w:pPr>
      <w:r>
        <w:t xml:space="preserve">Implementation of programs that refer to health protocols (through the </w:t>
      </w:r>
      <w:r w:rsidR="005279CA">
        <w:t>BISA</w:t>
      </w:r>
      <w:r>
        <w:t xml:space="preserve"> Movement and </w:t>
      </w:r>
      <w:r w:rsidR="00124F49">
        <w:t>R</w:t>
      </w:r>
      <w:r>
        <w:t xml:space="preserve">ebound </w:t>
      </w:r>
      <w:r w:rsidR="00124F49">
        <w:t>D</w:t>
      </w:r>
      <w:r>
        <w:t>estinations).</w:t>
      </w:r>
    </w:p>
    <w:p w14:paraId="784D1CCC" w14:textId="53B35A87" w:rsidR="00915FFF" w:rsidRDefault="00786DEB" w:rsidP="00786DEB">
      <w:pPr>
        <w:pStyle w:val="ListParagraph"/>
        <w:numPr>
          <w:ilvl w:val="0"/>
          <w:numId w:val="2"/>
        </w:numPr>
        <w:jc w:val="both"/>
      </w:pPr>
      <w:r>
        <w:t>Appeal</w:t>
      </w:r>
      <w:r w:rsidR="00A777E3">
        <w:t xml:space="preserve"> to implement health protocols.</w:t>
      </w:r>
    </w:p>
    <w:p w14:paraId="112D5DDE" w14:textId="192424E0" w:rsidR="00B17912" w:rsidRDefault="00D41F89" w:rsidP="00A94096">
      <w:pPr>
        <w:keepNext/>
        <w:keepLines/>
        <w:tabs>
          <w:tab w:val="left" w:pos="454"/>
        </w:tabs>
        <w:spacing w:before="520" w:after="280"/>
        <w:jc w:val="both"/>
        <w:rPr>
          <w:rFonts w:eastAsia="Times"/>
          <w:b/>
          <w:sz w:val="24"/>
          <w:szCs w:val="24"/>
        </w:rPr>
      </w:pPr>
      <w:r>
        <w:rPr>
          <w:rFonts w:eastAsia="Times"/>
          <w:b/>
          <w:sz w:val="24"/>
          <w:szCs w:val="24"/>
        </w:rPr>
        <w:lastRenderedPageBreak/>
        <w:t>4</w:t>
      </w:r>
      <w:r w:rsidRPr="0042530D">
        <w:rPr>
          <w:rFonts w:eastAsia="Times"/>
          <w:b/>
          <w:sz w:val="24"/>
          <w:szCs w:val="24"/>
        </w:rPr>
        <w:t xml:space="preserve">   </w:t>
      </w:r>
      <w:r w:rsidR="00A94096">
        <w:rPr>
          <w:rFonts w:eastAsia="Times"/>
          <w:b/>
          <w:sz w:val="24"/>
          <w:szCs w:val="24"/>
        </w:rPr>
        <w:t>CONCLUSIONS</w:t>
      </w:r>
    </w:p>
    <w:p w14:paraId="3F81208B" w14:textId="009A1CD8" w:rsidR="00B5254F" w:rsidRPr="00B5254F" w:rsidRDefault="00297728" w:rsidP="00B5254F">
      <w:pPr>
        <w:ind w:firstLine="360"/>
        <w:jc w:val="both"/>
        <w:rPr>
          <w:rFonts w:eastAsia="Times"/>
        </w:rPr>
      </w:pPr>
      <w:r w:rsidRPr="00297728">
        <w:rPr>
          <w:rFonts w:eastAsia="Times"/>
        </w:rPr>
        <w:t xml:space="preserve">The tourism sector in Indonesia, which is one of the sectors most affected by the existence of the Covid-19 pandemic, requires efforts from various parties to rise and re-develop. The magnitude of the influence of the sector is reflected in the realization of foreign exchange that was not achieved as well as the loss of people's livelihoods so that it had a serious impact on the economic situation in Indonesia. Various policies presented by Kemenparekraf </w:t>
      </w:r>
      <w:r w:rsidR="005279CA">
        <w:rPr>
          <w:rFonts w:eastAsia="Times"/>
        </w:rPr>
        <w:t xml:space="preserve">RI </w:t>
      </w:r>
      <w:r w:rsidRPr="00297728">
        <w:rPr>
          <w:rFonts w:eastAsia="Times"/>
        </w:rPr>
        <w:t>are communication efforts to build public awareness and the tourism industry in the new normal era through press releases with specific, targeted, and continuous content, so that the ultimate goal of these efforts can be achieved because of the preparation of opening tourist destinations and other tourism industries urgently need the implementation of strict health protocols so that the efforts made do not turn around and cause negative impacts from the presence of the Covid-19 pandemic which is still very vulnerable.</w:t>
      </w:r>
    </w:p>
    <w:p w14:paraId="5BC982F9" w14:textId="1222A616" w:rsidR="00A94096" w:rsidRPr="0042530D" w:rsidRDefault="00F66BFE" w:rsidP="00A94096">
      <w:pPr>
        <w:keepNext/>
        <w:keepLines/>
        <w:tabs>
          <w:tab w:val="left" w:pos="454"/>
        </w:tabs>
        <w:spacing w:before="520" w:after="280"/>
        <w:jc w:val="both"/>
      </w:pPr>
      <w:r>
        <w:rPr>
          <w:rFonts w:eastAsia="Times"/>
          <w:b/>
          <w:sz w:val="24"/>
          <w:szCs w:val="24"/>
        </w:rPr>
        <w:t>REFERENCES</w:t>
      </w:r>
    </w:p>
    <w:p w14:paraId="2FDFBD0E" w14:textId="453BA82E" w:rsidR="00405452" w:rsidRPr="00430A41" w:rsidRDefault="00573574" w:rsidP="00573574">
      <w:pPr>
        <w:tabs>
          <w:tab w:val="left" w:pos="279"/>
        </w:tabs>
        <w:ind w:left="270" w:hanging="270"/>
        <w:jc w:val="both"/>
        <w:rPr>
          <w:sz w:val="18"/>
          <w:szCs w:val="18"/>
        </w:rPr>
      </w:pPr>
      <w:r>
        <w:rPr>
          <w:sz w:val="18"/>
          <w:szCs w:val="18"/>
        </w:rPr>
        <w:t>[1]</w:t>
      </w:r>
      <w:r>
        <w:rPr>
          <w:sz w:val="18"/>
          <w:szCs w:val="18"/>
        </w:rPr>
        <w:tab/>
      </w:r>
      <w:r w:rsidR="00405452" w:rsidRPr="00430A41">
        <w:rPr>
          <w:sz w:val="18"/>
          <w:szCs w:val="18"/>
        </w:rPr>
        <w:t>“Fakta Lengkap Kasus Pertama Virus Corona di Indonesia,” https://nasional.kompas.com/read/2020/03/03/06314981/fakta-lengkap-kasus-pertama-virus-corona-di-indonesia diakses pada 28 Juli 2020, 2020.</w:t>
      </w:r>
    </w:p>
    <w:p w14:paraId="35647F3A" w14:textId="77777777" w:rsidR="00405452" w:rsidRPr="00430A41" w:rsidRDefault="00405452" w:rsidP="00573574">
      <w:pPr>
        <w:ind w:left="270" w:hanging="270"/>
        <w:jc w:val="both"/>
        <w:rPr>
          <w:sz w:val="18"/>
          <w:szCs w:val="18"/>
        </w:rPr>
      </w:pPr>
      <w:r w:rsidRPr="00430A41">
        <w:rPr>
          <w:sz w:val="18"/>
          <w:szCs w:val="18"/>
        </w:rPr>
        <w:t>[2] "Peta Sebaran Kasus Covid-19 di Indonesia," https://covid19.go.id/peta-sebaran diakses pada 28 Juli 2020, 2020.</w:t>
      </w:r>
    </w:p>
    <w:p w14:paraId="6B71B64D" w14:textId="3C9D2F07" w:rsidR="00405452" w:rsidRPr="00430A41" w:rsidRDefault="00573574" w:rsidP="00573574">
      <w:pPr>
        <w:tabs>
          <w:tab w:val="left" w:pos="270"/>
        </w:tabs>
        <w:ind w:left="270" w:hanging="270"/>
        <w:jc w:val="both"/>
        <w:rPr>
          <w:sz w:val="18"/>
          <w:szCs w:val="18"/>
        </w:rPr>
      </w:pPr>
      <w:r>
        <w:rPr>
          <w:sz w:val="18"/>
          <w:szCs w:val="18"/>
        </w:rPr>
        <w:t>[3]</w:t>
      </w:r>
      <w:r>
        <w:rPr>
          <w:sz w:val="18"/>
          <w:szCs w:val="18"/>
        </w:rPr>
        <w:tab/>
      </w:r>
      <w:r w:rsidR="00405452" w:rsidRPr="00430A41">
        <w:rPr>
          <w:sz w:val="18"/>
          <w:szCs w:val="18"/>
        </w:rPr>
        <w:t>"Sepanjang 2019, devisa sektor pariwisata mencapai Rp 280 triliun," https://nasional.kontan.co.id/news/sepanjang-2019-devisa-sektor-pariwisata-mencapai-rp-280-triliun diakses pada 28 Juli 2020, 2020.</w:t>
      </w:r>
    </w:p>
    <w:p w14:paraId="046B86D6" w14:textId="2EFB5ED7" w:rsidR="00405452" w:rsidRPr="00430A41" w:rsidRDefault="00405452" w:rsidP="00573574">
      <w:pPr>
        <w:ind w:left="270" w:hanging="270"/>
        <w:jc w:val="both"/>
        <w:rPr>
          <w:sz w:val="18"/>
          <w:szCs w:val="18"/>
        </w:rPr>
      </w:pPr>
      <w:r w:rsidRPr="00430A41">
        <w:rPr>
          <w:sz w:val="18"/>
          <w:szCs w:val="18"/>
        </w:rPr>
        <w:t>[4] KPPN/Bappenas RI, “Tantangan dan Peluang Pariwisata: Tourism After Covid-19,” Paparan Kuliah Umum Komunikasi Pemasaran Pariwisata – Pariwisata NTB Menuju New Normal 12 Mei 2020, 2020.</w:t>
      </w:r>
    </w:p>
    <w:p w14:paraId="2C2071B9" w14:textId="42974A95" w:rsidR="00405452" w:rsidRPr="00430A41" w:rsidRDefault="00405452" w:rsidP="00573574">
      <w:pPr>
        <w:ind w:left="270" w:hanging="270"/>
        <w:jc w:val="both"/>
        <w:rPr>
          <w:sz w:val="18"/>
          <w:szCs w:val="18"/>
        </w:rPr>
      </w:pPr>
      <w:r w:rsidRPr="00430A41">
        <w:rPr>
          <w:sz w:val="18"/>
          <w:szCs w:val="18"/>
        </w:rPr>
        <w:t>[5] "Pemerintah Resmi Sahkan Protokol Kesehatan Sektor Pariwisata dan Ekonomi Kreatif," https://pedulicovid19.kemenparekraf.go.id/siaran-pers-pemerintah-resmi-sahkan-protokol-kesehatan-sektor-pariwisata-dan-ekonomi-kreatif/ diakses pada 28 Juli 2020, 2020.</w:t>
      </w:r>
    </w:p>
    <w:p w14:paraId="73B77F99" w14:textId="77777777" w:rsidR="00405452" w:rsidRPr="00430A41" w:rsidRDefault="00405452" w:rsidP="00573574">
      <w:pPr>
        <w:ind w:left="270" w:hanging="270"/>
        <w:jc w:val="both"/>
        <w:rPr>
          <w:sz w:val="18"/>
          <w:szCs w:val="18"/>
        </w:rPr>
      </w:pPr>
      <w:r w:rsidRPr="00430A41">
        <w:rPr>
          <w:sz w:val="18"/>
          <w:szCs w:val="18"/>
        </w:rPr>
        <w:t xml:space="preserve">[6] S. Grimmelikhuijsen, F. d. Vries &amp; W. Zijlstra, "Breaking bad news without breaking trust: The effects of a press release and newspaper coverage on perceived trustworthiness," </w:t>
      </w:r>
      <w:r w:rsidRPr="00430A41">
        <w:rPr>
          <w:i/>
          <w:sz w:val="18"/>
          <w:szCs w:val="18"/>
        </w:rPr>
        <w:t>Journal of Behavioral Public Administration</w:t>
      </w:r>
      <w:r w:rsidRPr="00430A41">
        <w:rPr>
          <w:sz w:val="18"/>
          <w:szCs w:val="18"/>
        </w:rPr>
        <w:t xml:space="preserve">, </w:t>
      </w:r>
      <w:r w:rsidRPr="00430A41">
        <w:rPr>
          <w:i/>
          <w:sz w:val="18"/>
          <w:szCs w:val="18"/>
        </w:rPr>
        <w:t>Vol 1(1), pp. 1-10</w:t>
      </w:r>
      <w:r w:rsidRPr="00430A41">
        <w:rPr>
          <w:sz w:val="18"/>
          <w:szCs w:val="18"/>
        </w:rPr>
        <w:t>, 2018.</w:t>
      </w:r>
    </w:p>
    <w:p w14:paraId="61A71607" w14:textId="77777777" w:rsidR="00405452" w:rsidRPr="00430A41" w:rsidRDefault="00405452" w:rsidP="00573574">
      <w:pPr>
        <w:ind w:left="270" w:hanging="270"/>
        <w:jc w:val="both"/>
        <w:rPr>
          <w:sz w:val="18"/>
          <w:szCs w:val="18"/>
        </w:rPr>
      </w:pPr>
      <w:r w:rsidRPr="00430A41">
        <w:rPr>
          <w:sz w:val="18"/>
          <w:szCs w:val="18"/>
        </w:rPr>
        <w:t xml:space="preserve">[7] M. Ling, </w:t>
      </w:r>
      <w:r w:rsidRPr="00430A41">
        <w:rPr>
          <w:i/>
          <w:sz w:val="18"/>
          <w:szCs w:val="18"/>
        </w:rPr>
        <w:t>Press Release: A Tool for Public Relations</w:t>
      </w:r>
      <w:r w:rsidRPr="00430A41">
        <w:rPr>
          <w:sz w:val="18"/>
          <w:szCs w:val="18"/>
        </w:rPr>
        <w:t xml:space="preserve">, in </w:t>
      </w:r>
      <w:r w:rsidRPr="00430A41">
        <w:rPr>
          <w:i/>
          <w:sz w:val="18"/>
          <w:szCs w:val="18"/>
        </w:rPr>
        <w:t>Banking: Services, Opportunities and Risks</w:t>
      </w:r>
      <w:r w:rsidRPr="00430A41">
        <w:rPr>
          <w:sz w:val="18"/>
          <w:szCs w:val="18"/>
        </w:rPr>
        <w:t>, New York: Nova Science Publishers, 2017.</w:t>
      </w:r>
    </w:p>
    <w:p w14:paraId="6204F7B6" w14:textId="77777777" w:rsidR="00405452" w:rsidRPr="00430A41" w:rsidRDefault="00405452" w:rsidP="00573574">
      <w:pPr>
        <w:ind w:left="270" w:hanging="270"/>
        <w:jc w:val="both"/>
        <w:rPr>
          <w:sz w:val="18"/>
          <w:szCs w:val="18"/>
        </w:rPr>
      </w:pPr>
      <w:r w:rsidRPr="00430A41">
        <w:rPr>
          <w:sz w:val="18"/>
          <w:szCs w:val="18"/>
        </w:rPr>
        <w:t xml:space="preserve">[8] L. P. Morton &amp; S. Ramsey, “A benchmark study of the PR news wire,” </w:t>
      </w:r>
      <w:r w:rsidRPr="00430A41">
        <w:rPr>
          <w:i/>
          <w:sz w:val="18"/>
          <w:szCs w:val="18"/>
        </w:rPr>
        <w:t>Public Relations Review</w:t>
      </w:r>
      <w:r w:rsidRPr="00430A41">
        <w:rPr>
          <w:sz w:val="18"/>
          <w:szCs w:val="18"/>
        </w:rPr>
        <w:t>, 20(2), 171-182, 1994.</w:t>
      </w:r>
    </w:p>
    <w:p w14:paraId="739FF3E8" w14:textId="77777777" w:rsidR="00405452" w:rsidRPr="00430A41" w:rsidRDefault="00405452" w:rsidP="00573574">
      <w:pPr>
        <w:ind w:left="270" w:hanging="270"/>
        <w:jc w:val="both"/>
        <w:rPr>
          <w:sz w:val="18"/>
          <w:szCs w:val="18"/>
        </w:rPr>
      </w:pPr>
      <w:r w:rsidRPr="00430A41">
        <w:rPr>
          <w:sz w:val="18"/>
          <w:szCs w:val="18"/>
        </w:rPr>
        <w:t xml:space="preserve">[9] D. R. Gilpin, “Narrating the organizational self: Reframing the role of the news release,” </w:t>
      </w:r>
      <w:r w:rsidRPr="00430A41">
        <w:rPr>
          <w:i/>
          <w:sz w:val="18"/>
          <w:szCs w:val="18"/>
        </w:rPr>
        <w:t>Public Relations Review 34 (2008) 9–18,</w:t>
      </w:r>
      <w:r w:rsidRPr="00430A41">
        <w:rPr>
          <w:sz w:val="18"/>
          <w:szCs w:val="18"/>
        </w:rPr>
        <w:t xml:space="preserve"> 2008.</w:t>
      </w:r>
    </w:p>
    <w:p w14:paraId="5A5CEF9C" w14:textId="77777777" w:rsidR="00405452" w:rsidRPr="00430A41" w:rsidRDefault="00405452" w:rsidP="00573574">
      <w:pPr>
        <w:ind w:left="270" w:hanging="270"/>
        <w:jc w:val="both"/>
        <w:rPr>
          <w:sz w:val="18"/>
          <w:szCs w:val="18"/>
        </w:rPr>
      </w:pPr>
      <w:r w:rsidRPr="00430A41">
        <w:rPr>
          <w:sz w:val="18"/>
          <w:szCs w:val="18"/>
        </w:rPr>
        <w:t xml:space="preserve">[10] H. Nawawi &amp; M. Martini, </w:t>
      </w:r>
      <w:r w:rsidRPr="00430A41">
        <w:rPr>
          <w:i/>
          <w:sz w:val="18"/>
          <w:szCs w:val="18"/>
        </w:rPr>
        <w:t>Penelitian Terapan</w:t>
      </w:r>
      <w:r w:rsidRPr="00430A41">
        <w:rPr>
          <w:sz w:val="18"/>
          <w:szCs w:val="18"/>
        </w:rPr>
        <w:t>, Yogyakarta: Gajahmada University Press, 1994.</w:t>
      </w:r>
    </w:p>
    <w:p w14:paraId="3A6115E7" w14:textId="77777777" w:rsidR="00405452" w:rsidRPr="00430A41" w:rsidRDefault="00405452" w:rsidP="00573574">
      <w:pPr>
        <w:ind w:left="270" w:hanging="270"/>
        <w:jc w:val="both"/>
        <w:rPr>
          <w:sz w:val="18"/>
          <w:szCs w:val="18"/>
        </w:rPr>
      </w:pPr>
      <w:r w:rsidRPr="00430A41">
        <w:rPr>
          <w:sz w:val="18"/>
          <w:szCs w:val="18"/>
        </w:rPr>
        <w:t xml:space="preserve">[11] S.W. Littlejohn, K.A. Foss &amp; J.G. Oetzel, </w:t>
      </w:r>
      <w:r w:rsidRPr="00430A41">
        <w:rPr>
          <w:i/>
          <w:sz w:val="18"/>
          <w:szCs w:val="18"/>
        </w:rPr>
        <w:t>Theories of Human Communication (11th ed.)</w:t>
      </w:r>
      <w:r w:rsidRPr="00430A41">
        <w:rPr>
          <w:sz w:val="18"/>
          <w:szCs w:val="18"/>
        </w:rPr>
        <w:t>, Illinois: Waveland Press, 2017.</w:t>
      </w:r>
    </w:p>
    <w:p w14:paraId="39921DC7" w14:textId="77777777" w:rsidR="00405452" w:rsidRPr="00430A41" w:rsidRDefault="00405452" w:rsidP="00573574">
      <w:pPr>
        <w:ind w:left="270" w:hanging="270"/>
        <w:jc w:val="both"/>
        <w:rPr>
          <w:sz w:val="18"/>
          <w:szCs w:val="18"/>
        </w:rPr>
      </w:pPr>
      <w:r w:rsidRPr="00430A41">
        <w:rPr>
          <w:sz w:val="18"/>
          <w:szCs w:val="18"/>
        </w:rPr>
        <w:t xml:space="preserve">[12] A. Tversky &amp; D. Kahnemann, “Advanced in  Prospect Theory: Cumulative Representation of Uncertainty,” </w:t>
      </w:r>
      <w:r w:rsidRPr="00430A41">
        <w:rPr>
          <w:i/>
          <w:sz w:val="18"/>
          <w:szCs w:val="18"/>
        </w:rPr>
        <w:t>Journal of Risk and Uncertainty 5 (1992) 297-323</w:t>
      </w:r>
      <w:r w:rsidRPr="00430A41">
        <w:rPr>
          <w:sz w:val="18"/>
          <w:szCs w:val="18"/>
        </w:rPr>
        <w:t>, 1992.</w:t>
      </w:r>
    </w:p>
    <w:p w14:paraId="358D337C" w14:textId="77777777" w:rsidR="00405452" w:rsidRPr="00430A41" w:rsidRDefault="00405452" w:rsidP="00573574">
      <w:pPr>
        <w:ind w:left="270" w:hanging="270"/>
        <w:jc w:val="both"/>
        <w:rPr>
          <w:sz w:val="18"/>
          <w:szCs w:val="18"/>
        </w:rPr>
      </w:pPr>
      <w:r w:rsidRPr="00430A41">
        <w:rPr>
          <w:sz w:val="18"/>
          <w:szCs w:val="18"/>
        </w:rPr>
        <w:t xml:space="preserve">[13] J. Choi &amp; S. Lee, “Managing a crisis: A framing analysis of press releases dealing with the Fukushima nuclear power station crisis,” </w:t>
      </w:r>
      <w:r w:rsidRPr="00430A41">
        <w:rPr>
          <w:i/>
          <w:sz w:val="18"/>
          <w:szCs w:val="18"/>
        </w:rPr>
        <w:t xml:space="preserve">Public Relations Review, </w:t>
      </w:r>
      <w:r w:rsidRPr="00430A41">
        <w:rPr>
          <w:sz w:val="18"/>
          <w:szCs w:val="18"/>
        </w:rPr>
        <w:t>2017.</w:t>
      </w:r>
    </w:p>
    <w:p w14:paraId="04FCEDDF" w14:textId="77777777" w:rsidR="00405452" w:rsidRPr="00430A41" w:rsidRDefault="00405452" w:rsidP="00573574">
      <w:pPr>
        <w:ind w:left="270" w:hanging="270"/>
        <w:jc w:val="both"/>
        <w:rPr>
          <w:sz w:val="18"/>
          <w:szCs w:val="18"/>
        </w:rPr>
      </w:pPr>
      <w:r w:rsidRPr="00430A41">
        <w:rPr>
          <w:sz w:val="18"/>
          <w:szCs w:val="18"/>
        </w:rPr>
        <w:t xml:space="preserve">[14] Liu et. al, “ Detecting Frames in News Headlines and Its Application to Analyzing News Framing Trends Surrounding U.S. Gun Violence,” </w:t>
      </w:r>
      <w:r w:rsidRPr="00430A41">
        <w:rPr>
          <w:i/>
          <w:sz w:val="18"/>
          <w:szCs w:val="18"/>
        </w:rPr>
        <w:t>Proceedings of the 23rd Conference on Computational Natural Language Learning, pages 504–514,</w:t>
      </w:r>
      <w:r w:rsidRPr="00430A41">
        <w:rPr>
          <w:sz w:val="18"/>
          <w:szCs w:val="18"/>
        </w:rPr>
        <w:t xml:space="preserve"> 2019.</w:t>
      </w:r>
    </w:p>
    <w:p w14:paraId="763E44F9" w14:textId="77777777" w:rsidR="00405452" w:rsidRPr="00430A41" w:rsidRDefault="00405452" w:rsidP="00573574">
      <w:pPr>
        <w:ind w:left="270" w:hanging="270"/>
        <w:jc w:val="both"/>
        <w:rPr>
          <w:sz w:val="18"/>
          <w:szCs w:val="18"/>
        </w:rPr>
      </w:pPr>
      <w:r w:rsidRPr="00430A41">
        <w:rPr>
          <w:sz w:val="18"/>
          <w:szCs w:val="18"/>
        </w:rPr>
        <w:lastRenderedPageBreak/>
        <w:t xml:space="preserve">[15] S. Grimmelikhuijsen, F. d. Vries &amp; W. Zijlstra, "Breaking bad news without breaking trust: The effects of a press release and newspaper coverage on perceived trustworthiness," </w:t>
      </w:r>
      <w:r w:rsidRPr="00430A41">
        <w:rPr>
          <w:i/>
          <w:sz w:val="18"/>
          <w:szCs w:val="18"/>
        </w:rPr>
        <w:t>Journal of Behavioral Public Administration</w:t>
      </w:r>
      <w:r w:rsidRPr="00430A41">
        <w:rPr>
          <w:sz w:val="18"/>
          <w:szCs w:val="18"/>
        </w:rPr>
        <w:t xml:space="preserve">, </w:t>
      </w:r>
      <w:r w:rsidRPr="00430A41">
        <w:rPr>
          <w:i/>
          <w:sz w:val="18"/>
          <w:szCs w:val="18"/>
        </w:rPr>
        <w:t>Vol 1(1), pp. 1-10</w:t>
      </w:r>
      <w:r w:rsidRPr="00430A41">
        <w:rPr>
          <w:sz w:val="18"/>
          <w:szCs w:val="18"/>
        </w:rPr>
        <w:t>, 2018.</w:t>
      </w:r>
    </w:p>
    <w:p w14:paraId="7C6ADB7C" w14:textId="77777777" w:rsidR="00405452" w:rsidRPr="00430A41" w:rsidRDefault="00405452" w:rsidP="00573574">
      <w:pPr>
        <w:ind w:left="270" w:hanging="270"/>
        <w:jc w:val="both"/>
        <w:rPr>
          <w:sz w:val="18"/>
          <w:szCs w:val="18"/>
        </w:rPr>
      </w:pPr>
      <w:r w:rsidRPr="00430A41">
        <w:rPr>
          <w:sz w:val="18"/>
          <w:szCs w:val="18"/>
        </w:rPr>
        <w:t xml:space="preserve">[16] S.T. Lee &amp; I. Basnyat, "From Press Release to News: Mapping the Framing of the 2009 H1N1 A Influenza Pandemic," </w:t>
      </w:r>
      <w:r w:rsidRPr="00430A41">
        <w:rPr>
          <w:i/>
          <w:sz w:val="18"/>
          <w:szCs w:val="18"/>
        </w:rPr>
        <w:t>Health Communication, 28:2, 119-132</w:t>
      </w:r>
      <w:r w:rsidRPr="00430A41">
        <w:rPr>
          <w:sz w:val="18"/>
          <w:szCs w:val="18"/>
        </w:rPr>
        <w:t>, 2013.</w:t>
      </w:r>
    </w:p>
    <w:p w14:paraId="2A731D48" w14:textId="384A591C" w:rsidR="00405452" w:rsidRPr="00430A41" w:rsidRDefault="00405452" w:rsidP="00573574">
      <w:pPr>
        <w:ind w:left="270" w:hanging="270"/>
        <w:jc w:val="both"/>
        <w:rPr>
          <w:sz w:val="18"/>
          <w:szCs w:val="18"/>
        </w:rPr>
      </w:pPr>
      <w:r w:rsidRPr="00430A41">
        <w:rPr>
          <w:sz w:val="18"/>
          <w:szCs w:val="18"/>
        </w:rPr>
        <w:t>[17] Badan Pelaksana Otorita Danau Toba, “Pariwisata dan Adaptasi Tatanan Baru Destinasi Pariwisata Super Prioritas Danau Toba”, Paparan Webinar Pariwisata dan Adaptasi Tatanan Baru Genpinas 19 Juni 2020, 2020.</w:t>
      </w:r>
    </w:p>
    <w:p w14:paraId="1D37291A" w14:textId="0313AA4F" w:rsidR="00405452" w:rsidRPr="00430A41" w:rsidRDefault="00405452" w:rsidP="00573574">
      <w:pPr>
        <w:ind w:left="270" w:hanging="270"/>
        <w:jc w:val="both"/>
        <w:rPr>
          <w:sz w:val="18"/>
          <w:szCs w:val="18"/>
        </w:rPr>
      </w:pPr>
      <w:r w:rsidRPr="00430A41">
        <w:rPr>
          <w:sz w:val="18"/>
          <w:szCs w:val="18"/>
        </w:rPr>
        <w:t>[18] KPPN/Bappenas RI, “Tantangan dan Peluang Pariwisata: Tourism After Covid-19,” Paparan Kuliah Umum Komunikasi Pemasaran Pariwisata – Pariwisata NTB Menuju New Normal 12 Mei 2020, 2020.</w:t>
      </w:r>
    </w:p>
    <w:p w14:paraId="68308B08" w14:textId="77777777" w:rsidR="00405452" w:rsidRPr="00430A41" w:rsidRDefault="00405452" w:rsidP="00573574">
      <w:pPr>
        <w:ind w:left="270" w:hanging="270"/>
        <w:jc w:val="both"/>
        <w:rPr>
          <w:sz w:val="18"/>
          <w:szCs w:val="18"/>
        </w:rPr>
      </w:pPr>
      <w:r w:rsidRPr="00430A41">
        <w:rPr>
          <w:sz w:val="18"/>
          <w:szCs w:val="18"/>
        </w:rPr>
        <w:t>[19] “3 Bulan Dihantam Corona, Pariwisata RI Rugi Rp 140 Triliun,” https://travel.detik.com/travel-news/d-4985043/3-bulan-dihantam-corona-pariwisata-ri-rugi-rp-140-triliun diakses pada 28 Juli 2020, 2020.</w:t>
      </w:r>
    </w:p>
    <w:p w14:paraId="2952A1C7" w14:textId="24795265" w:rsidR="00405452" w:rsidRPr="00430A41" w:rsidRDefault="00405452" w:rsidP="00573574">
      <w:pPr>
        <w:ind w:left="270" w:hanging="270"/>
        <w:jc w:val="both"/>
        <w:rPr>
          <w:sz w:val="18"/>
          <w:szCs w:val="18"/>
        </w:rPr>
      </w:pPr>
      <w:r w:rsidRPr="00430A41">
        <w:rPr>
          <w:sz w:val="18"/>
          <w:szCs w:val="18"/>
        </w:rPr>
        <w:t>[20] KPPN/Bappenas RI, “Tantangan dan Peluang Pariwisata: Tourism After Covid-19,” Paparan Kuliah Umum Komunikasi Pemasaran Pariwisata – Pariwisata NTB Menuju New Normal 12 Mei 2020, 2020.</w:t>
      </w:r>
    </w:p>
    <w:p w14:paraId="62150A09" w14:textId="5D5AC149" w:rsidR="00405452" w:rsidRPr="00430A41" w:rsidRDefault="00405452" w:rsidP="00573574">
      <w:pPr>
        <w:ind w:left="270" w:hanging="270"/>
        <w:jc w:val="both"/>
        <w:rPr>
          <w:sz w:val="18"/>
          <w:szCs w:val="18"/>
        </w:rPr>
      </w:pPr>
      <w:r w:rsidRPr="00430A41">
        <w:rPr>
          <w:sz w:val="18"/>
          <w:szCs w:val="18"/>
        </w:rPr>
        <w:t>[21] Kemenparekraf RI, “Pariwisata &amp; Adaptasi Kenormalan Baru,” Paparan Webinar Pariwisata dan Adaptasi Tatanan Baru Genpinas 19 Juni 2020, 2020.</w:t>
      </w:r>
    </w:p>
    <w:p w14:paraId="5C2EE4B1" w14:textId="7DB60121" w:rsidR="00405452" w:rsidRPr="00430A41" w:rsidRDefault="00405452" w:rsidP="00573574">
      <w:pPr>
        <w:ind w:left="270" w:hanging="270"/>
        <w:jc w:val="both"/>
        <w:rPr>
          <w:sz w:val="18"/>
          <w:szCs w:val="18"/>
        </w:rPr>
      </w:pPr>
      <w:r w:rsidRPr="00430A41">
        <w:rPr>
          <w:sz w:val="18"/>
          <w:szCs w:val="18"/>
        </w:rPr>
        <w:t>[22] Kemenparekraf RI, “Pariwisata &amp; Adaptasi Kenormalan Baru,” Paparan Webinar Pariwisata dan Adaptasi Tatanan Baru Genpinas 19 Juni 2020, 2020.</w:t>
      </w:r>
    </w:p>
    <w:p w14:paraId="0E0849F3" w14:textId="77777777" w:rsidR="00405452" w:rsidRPr="00430A41" w:rsidRDefault="00405452" w:rsidP="00573574">
      <w:pPr>
        <w:ind w:left="270" w:hanging="270"/>
        <w:jc w:val="both"/>
        <w:rPr>
          <w:sz w:val="18"/>
          <w:szCs w:val="18"/>
        </w:rPr>
      </w:pPr>
      <w:r w:rsidRPr="00430A41">
        <w:rPr>
          <w:sz w:val="18"/>
          <w:szCs w:val="18"/>
        </w:rPr>
        <w:t>[23] "Wisata Bali Dibuka 31 Juli, Pemerintah Ingatkan Protokol Covid-19," https://ekonomi.bisnis.com/read/20200728/12/1271970/wisata-bali-dibuka-31-juli-pemerintah-ingatkan-protokol-covid-19 diakses pada 28 Juli 2020, 2020.</w:t>
      </w:r>
    </w:p>
    <w:p w14:paraId="3B706268" w14:textId="335805EC" w:rsidR="00274BE6" w:rsidRPr="0064380E" w:rsidRDefault="00405452" w:rsidP="0064380E">
      <w:pPr>
        <w:ind w:left="270" w:hanging="270"/>
        <w:jc w:val="both"/>
        <w:rPr>
          <w:sz w:val="18"/>
          <w:szCs w:val="18"/>
        </w:rPr>
      </w:pPr>
      <w:r w:rsidRPr="00430A41">
        <w:rPr>
          <w:sz w:val="18"/>
          <w:szCs w:val="18"/>
        </w:rPr>
        <w:t>[24] Kemenparekraf RI, “Peraturan Menteri Pariwisata dan Ekonomi Kreatif/Kepala Badan Pariwisata dan Ekonomi Kreatif Republik Indonesia Nomor 1 Tahun 2020 tentang Organisasi dan Tata Kerja Kementerian Pariwisata dan Ekonomi Kreatif/Kepala Badan Pariwisata dan Ekonomi Kreatif,”</w:t>
      </w:r>
      <w:r w:rsidR="00C673B6">
        <w:rPr>
          <w:sz w:val="18"/>
          <w:szCs w:val="18"/>
        </w:rPr>
        <w:t xml:space="preserve"> </w:t>
      </w:r>
      <w:r w:rsidRPr="00430A41">
        <w:rPr>
          <w:sz w:val="18"/>
          <w:szCs w:val="18"/>
        </w:rPr>
        <w:t>Jakarta, 2020.</w:t>
      </w:r>
    </w:p>
    <w:sectPr w:rsidR="00274BE6" w:rsidRPr="0064380E" w:rsidSect="00B17912">
      <w:footerReference w:type="default" r:id="rId12"/>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F44E1" w14:textId="77777777" w:rsidR="00410BCA" w:rsidRDefault="00410BCA">
      <w:r>
        <w:separator/>
      </w:r>
    </w:p>
  </w:endnote>
  <w:endnote w:type="continuationSeparator" w:id="0">
    <w:p w14:paraId="3F10DFB3" w14:textId="77777777" w:rsidR="00410BCA" w:rsidRDefault="0041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721AC" w14:textId="77777777" w:rsidR="00274BE6" w:rsidRDefault="00274BE6">
    <w:pPr>
      <w:jc w:val="both"/>
    </w:pPr>
  </w:p>
  <w:p w14:paraId="45F3A2DE" w14:textId="77777777" w:rsidR="00274BE6" w:rsidRDefault="00274BE6">
    <w:pPr>
      <w:jc w:val="both"/>
    </w:pPr>
  </w:p>
  <w:p w14:paraId="2EBC0141" w14:textId="77777777" w:rsidR="00274BE6" w:rsidRDefault="00274BE6">
    <w:pPr>
      <w:jc w:val="both"/>
    </w:pPr>
  </w:p>
  <w:p w14:paraId="7D88F5F3" w14:textId="77777777" w:rsidR="00274BE6" w:rsidRDefault="00274BE6">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E1EBE" w14:textId="77777777" w:rsidR="00410BCA" w:rsidRDefault="00410BCA">
      <w:r>
        <w:separator/>
      </w:r>
    </w:p>
  </w:footnote>
  <w:footnote w:type="continuationSeparator" w:id="0">
    <w:p w14:paraId="021CB1C6" w14:textId="77777777" w:rsidR="00410BCA" w:rsidRDefault="00410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11A2"/>
    <w:multiLevelType w:val="hybridMultilevel"/>
    <w:tmpl w:val="44D06BE0"/>
    <w:lvl w:ilvl="0" w:tplc="CF0A6C74">
      <w:start w:val="1"/>
      <w:numFmt w:val="bullet"/>
      <w:lvlText w:val="-"/>
      <w:lvlJc w:val="left"/>
      <w:pPr>
        <w:tabs>
          <w:tab w:val="num" w:pos="720"/>
        </w:tabs>
        <w:ind w:left="720" w:hanging="360"/>
      </w:pPr>
      <w:rPr>
        <w:rFonts w:ascii="Arial" w:hAnsi="Arial" w:hint="default"/>
      </w:rPr>
    </w:lvl>
    <w:lvl w:ilvl="1" w:tplc="103E58D6" w:tentative="1">
      <w:start w:val="1"/>
      <w:numFmt w:val="bullet"/>
      <w:lvlText w:val="-"/>
      <w:lvlJc w:val="left"/>
      <w:pPr>
        <w:tabs>
          <w:tab w:val="num" w:pos="1440"/>
        </w:tabs>
        <w:ind w:left="1440" w:hanging="360"/>
      </w:pPr>
      <w:rPr>
        <w:rFonts w:ascii="Arial" w:hAnsi="Arial" w:hint="default"/>
      </w:rPr>
    </w:lvl>
    <w:lvl w:ilvl="2" w:tplc="8F2CF56A" w:tentative="1">
      <w:start w:val="1"/>
      <w:numFmt w:val="bullet"/>
      <w:lvlText w:val="-"/>
      <w:lvlJc w:val="left"/>
      <w:pPr>
        <w:tabs>
          <w:tab w:val="num" w:pos="2160"/>
        </w:tabs>
        <w:ind w:left="2160" w:hanging="360"/>
      </w:pPr>
      <w:rPr>
        <w:rFonts w:ascii="Arial" w:hAnsi="Arial" w:hint="default"/>
      </w:rPr>
    </w:lvl>
    <w:lvl w:ilvl="3" w:tplc="9A6ED3E0" w:tentative="1">
      <w:start w:val="1"/>
      <w:numFmt w:val="bullet"/>
      <w:lvlText w:val="-"/>
      <w:lvlJc w:val="left"/>
      <w:pPr>
        <w:tabs>
          <w:tab w:val="num" w:pos="2880"/>
        </w:tabs>
        <w:ind w:left="2880" w:hanging="360"/>
      </w:pPr>
      <w:rPr>
        <w:rFonts w:ascii="Arial" w:hAnsi="Arial" w:hint="default"/>
      </w:rPr>
    </w:lvl>
    <w:lvl w:ilvl="4" w:tplc="D618FB54" w:tentative="1">
      <w:start w:val="1"/>
      <w:numFmt w:val="bullet"/>
      <w:lvlText w:val="-"/>
      <w:lvlJc w:val="left"/>
      <w:pPr>
        <w:tabs>
          <w:tab w:val="num" w:pos="3600"/>
        </w:tabs>
        <w:ind w:left="3600" w:hanging="360"/>
      </w:pPr>
      <w:rPr>
        <w:rFonts w:ascii="Arial" w:hAnsi="Arial" w:hint="default"/>
      </w:rPr>
    </w:lvl>
    <w:lvl w:ilvl="5" w:tplc="520023DC" w:tentative="1">
      <w:start w:val="1"/>
      <w:numFmt w:val="bullet"/>
      <w:lvlText w:val="-"/>
      <w:lvlJc w:val="left"/>
      <w:pPr>
        <w:tabs>
          <w:tab w:val="num" w:pos="4320"/>
        </w:tabs>
        <w:ind w:left="4320" w:hanging="360"/>
      </w:pPr>
      <w:rPr>
        <w:rFonts w:ascii="Arial" w:hAnsi="Arial" w:hint="default"/>
      </w:rPr>
    </w:lvl>
    <w:lvl w:ilvl="6" w:tplc="30164228" w:tentative="1">
      <w:start w:val="1"/>
      <w:numFmt w:val="bullet"/>
      <w:lvlText w:val="-"/>
      <w:lvlJc w:val="left"/>
      <w:pPr>
        <w:tabs>
          <w:tab w:val="num" w:pos="5040"/>
        </w:tabs>
        <w:ind w:left="5040" w:hanging="360"/>
      </w:pPr>
      <w:rPr>
        <w:rFonts w:ascii="Arial" w:hAnsi="Arial" w:hint="default"/>
      </w:rPr>
    </w:lvl>
    <w:lvl w:ilvl="7" w:tplc="810286EE" w:tentative="1">
      <w:start w:val="1"/>
      <w:numFmt w:val="bullet"/>
      <w:lvlText w:val="-"/>
      <w:lvlJc w:val="left"/>
      <w:pPr>
        <w:tabs>
          <w:tab w:val="num" w:pos="5760"/>
        </w:tabs>
        <w:ind w:left="5760" w:hanging="360"/>
      </w:pPr>
      <w:rPr>
        <w:rFonts w:ascii="Arial" w:hAnsi="Arial" w:hint="default"/>
      </w:rPr>
    </w:lvl>
    <w:lvl w:ilvl="8" w:tplc="EBA82E76" w:tentative="1">
      <w:start w:val="1"/>
      <w:numFmt w:val="bullet"/>
      <w:lvlText w:val="-"/>
      <w:lvlJc w:val="left"/>
      <w:pPr>
        <w:tabs>
          <w:tab w:val="num" w:pos="6480"/>
        </w:tabs>
        <w:ind w:left="6480" w:hanging="360"/>
      </w:pPr>
      <w:rPr>
        <w:rFonts w:ascii="Arial" w:hAnsi="Arial" w:hint="default"/>
      </w:rPr>
    </w:lvl>
  </w:abstractNum>
  <w:abstractNum w:abstractNumId="1">
    <w:nsid w:val="1ACA7458"/>
    <w:multiLevelType w:val="hybridMultilevel"/>
    <w:tmpl w:val="26AE6CBA"/>
    <w:lvl w:ilvl="0" w:tplc="78FCFEB4">
      <w:start w:val="1"/>
      <w:numFmt w:val="bullet"/>
      <w:lvlText w:val="-"/>
      <w:lvlJc w:val="left"/>
      <w:pPr>
        <w:tabs>
          <w:tab w:val="num" w:pos="720"/>
        </w:tabs>
        <w:ind w:left="720" w:hanging="360"/>
      </w:pPr>
      <w:rPr>
        <w:rFonts w:ascii="Arial" w:hAnsi="Arial" w:hint="default"/>
      </w:rPr>
    </w:lvl>
    <w:lvl w:ilvl="1" w:tplc="EE666642" w:tentative="1">
      <w:start w:val="1"/>
      <w:numFmt w:val="bullet"/>
      <w:lvlText w:val="-"/>
      <w:lvlJc w:val="left"/>
      <w:pPr>
        <w:tabs>
          <w:tab w:val="num" w:pos="1440"/>
        </w:tabs>
        <w:ind w:left="1440" w:hanging="360"/>
      </w:pPr>
      <w:rPr>
        <w:rFonts w:ascii="Arial" w:hAnsi="Arial" w:hint="default"/>
      </w:rPr>
    </w:lvl>
    <w:lvl w:ilvl="2" w:tplc="703077F4" w:tentative="1">
      <w:start w:val="1"/>
      <w:numFmt w:val="bullet"/>
      <w:lvlText w:val="-"/>
      <w:lvlJc w:val="left"/>
      <w:pPr>
        <w:tabs>
          <w:tab w:val="num" w:pos="2160"/>
        </w:tabs>
        <w:ind w:left="2160" w:hanging="360"/>
      </w:pPr>
      <w:rPr>
        <w:rFonts w:ascii="Arial" w:hAnsi="Arial" w:hint="default"/>
      </w:rPr>
    </w:lvl>
    <w:lvl w:ilvl="3" w:tplc="28A6DFF2" w:tentative="1">
      <w:start w:val="1"/>
      <w:numFmt w:val="bullet"/>
      <w:lvlText w:val="-"/>
      <w:lvlJc w:val="left"/>
      <w:pPr>
        <w:tabs>
          <w:tab w:val="num" w:pos="2880"/>
        </w:tabs>
        <w:ind w:left="2880" w:hanging="360"/>
      </w:pPr>
      <w:rPr>
        <w:rFonts w:ascii="Arial" w:hAnsi="Arial" w:hint="default"/>
      </w:rPr>
    </w:lvl>
    <w:lvl w:ilvl="4" w:tplc="EADA3AEE" w:tentative="1">
      <w:start w:val="1"/>
      <w:numFmt w:val="bullet"/>
      <w:lvlText w:val="-"/>
      <w:lvlJc w:val="left"/>
      <w:pPr>
        <w:tabs>
          <w:tab w:val="num" w:pos="3600"/>
        </w:tabs>
        <w:ind w:left="3600" w:hanging="360"/>
      </w:pPr>
      <w:rPr>
        <w:rFonts w:ascii="Arial" w:hAnsi="Arial" w:hint="default"/>
      </w:rPr>
    </w:lvl>
    <w:lvl w:ilvl="5" w:tplc="0F3A7EE8" w:tentative="1">
      <w:start w:val="1"/>
      <w:numFmt w:val="bullet"/>
      <w:lvlText w:val="-"/>
      <w:lvlJc w:val="left"/>
      <w:pPr>
        <w:tabs>
          <w:tab w:val="num" w:pos="4320"/>
        </w:tabs>
        <w:ind w:left="4320" w:hanging="360"/>
      </w:pPr>
      <w:rPr>
        <w:rFonts w:ascii="Arial" w:hAnsi="Arial" w:hint="default"/>
      </w:rPr>
    </w:lvl>
    <w:lvl w:ilvl="6" w:tplc="EF260BE8" w:tentative="1">
      <w:start w:val="1"/>
      <w:numFmt w:val="bullet"/>
      <w:lvlText w:val="-"/>
      <w:lvlJc w:val="left"/>
      <w:pPr>
        <w:tabs>
          <w:tab w:val="num" w:pos="5040"/>
        </w:tabs>
        <w:ind w:left="5040" w:hanging="360"/>
      </w:pPr>
      <w:rPr>
        <w:rFonts w:ascii="Arial" w:hAnsi="Arial" w:hint="default"/>
      </w:rPr>
    </w:lvl>
    <w:lvl w:ilvl="7" w:tplc="0B3C7D10" w:tentative="1">
      <w:start w:val="1"/>
      <w:numFmt w:val="bullet"/>
      <w:lvlText w:val="-"/>
      <w:lvlJc w:val="left"/>
      <w:pPr>
        <w:tabs>
          <w:tab w:val="num" w:pos="5760"/>
        </w:tabs>
        <w:ind w:left="5760" w:hanging="360"/>
      </w:pPr>
      <w:rPr>
        <w:rFonts w:ascii="Arial" w:hAnsi="Arial" w:hint="default"/>
      </w:rPr>
    </w:lvl>
    <w:lvl w:ilvl="8" w:tplc="5518DAD2" w:tentative="1">
      <w:start w:val="1"/>
      <w:numFmt w:val="bullet"/>
      <w:lvlText w:val="-"/>
      <w:lvlJc w:val="left"/>
      <w:pPr>
        <w:tabs>
          <w:tab w:val="num" w:pos="6480"/>
        </w:tabs>
        <w:ind w:left="6480" w:hanging="360"/>
      </w:pPr>
      <w:rPr>
        <w:rFonts w:ascii="Arial" w:hAnsi="Arial" w:hint="default"/>
      </w:rPr>
    </w:lvl>
  </w:abstractNum>
  <w:abstractNum w:abstractNumId="2">
    <w:nsid w:val="5E9D7400"/>
    <w:multiLevelType w:val="hybridMultilevel"/>
    <w:tmpl w:val="0C8824F2"/>
    <w:lvl w:ilvl="0" w:tplc="D18C90AC">
      <w:start w:val="1"/>
      <w:numFmt w:val="bullet"/>
      <w:lvlText w:val="•"/>
      <w:lvlJc w:val="left"/>
      <w:pPr>
        <w:tabs>
          <w:tab w:val="num" w:pos="720"/>
        </w:tabs>
        <w:ind w:left="720" w:hanging="360"/>
      </w:pPr>
      <w:rPr>
        <w:rFonts w:ascii="Arial" w:hAnsi="Arial" w:hint="default"/>
      </w:rPr>
    </w:lvl>
    <w:lvl w:ilvl="1" w:tplc="7EBEBDA4" w:tentative="1">
      <w:start w:val="1"/>
      <w:numFmt w:val="bullet"/>
      <w:lvlText w:val="•"/>
      <w:lvlJc w:val="left"/>
      <w:pPr>
        <w:tabs>
          <w:tab w:val="num" w:pos="1440"/>
        </w:tabs>
        <w:ind w:left="1440" w:hanging="360"/>
      </w:pPr>
      <w:rPr>
        <w:rFonts w:ascii="Arial" w:hAnsi="Arial" w:hint="default"/>
      </w:rPr>
    </w:lvl>
    <w:lvl w:ilvl="2" w:tplc="BCD4A77C" w:tentative="1">
      <w:start w:val="1"/>
      <w:numFmt w:val="bullet"/>
      <w:lvlText w:val="•"/>
      <w:lvlJc w:val="left"/>
      <w:pPr>
        <w:tabs>
          <w:tab w:val="num" w:pos="2160"/>
        </w:tabs>
        <w:ind w:left="2160" w:hanging="360"/>
      </w:pPr>
      <w:rPr>
        <w:rFonts w:ascii="Arial" w:hAnsi="Arial" w:hint="default"/>
      </w:rPr>
    </w:lvl>
    <w:lvl w:ilvl="3" w:tplc="F49A56D6" w:tentative="1">
      <w:start w:val="1"/>
      <w:numFmt w:val="bullet"/>
      <w:lvlText w:val="•"/>
      <w:lvlJc w:val="left"/>
      <w:pPr>
        <w:tabs>
          <w:tab w:val="num" w:pos="2880"/>
        </w:tabs>
        <w:ind w:left="2880" w:hanging="360"/>
      </w:pPr>
      <w:rPr>
        <w:rFonts w:ascii="Arial" w:hAnsi="Arial" w:hint="default"/>
      </w:rPr>
    </w:lvl>
    <w:lvl w:ilvl="4" w:tplc="B944F66A" w:tentative="1">
      <w:start w:val="1"/>
      <w:numFmt w:val="bullet"/>
      <w:lvlText w:val="•"/>
      <w:lvlJc w:val="left"/>
      <w:pPr>
        <w:tabs>
          <w:tab w:val="num" w:pos="3600"/>
        </w:tabs>
        <w:ind w:left="3600" w:hanging="360"/>
      </w:pPr>
      <w:rPr>
        <w:rFonts w:ascii="Arial" w:hAnsi="Arial" w:hint="default"/>
      </w:rPr>
    </w:lvl>
    <w:lvl w:ilvl="5" w:tplc="C8F28520" w:tentative="1">
      <w:start w:val="1"/>
      <w:numFmt w:val="bullet"/>
      <w:lvlText w:val="•"/>
      <w:lvlJc w:val="left"/>
      <w:pPr>
        <w:tabs>
          <w:tab w:val="num" w:pos="4320"/>
        </w:tabs>
        <w:ind w:left="4320" w:hanging="360"/>
      </w:pPr>
      <w:rPr>
        <w:rFonts w:ascii="Arial" w:hAnsi="Arial" w:hint="default"/>
      </w:rPr>
    </w:lvl>
    <w:lvl w:ilvl="6" w:tplc="95627116" w:tentative="1">
      <w:start w:val="1"/>
      <w:numFmt w:val="bullet"/>
      <w:lvlText w:val="•"/>
      <w:lvlJc w:val="left"/>
      <w:pPr>
        <w:tabs>
          <w:tab w:val="num" w:pos="5040"/>
        </w:tabs>
        <w:ind w:left="5040" w:hanging="360"/>
      </w:pPr>
      <w:rPr>
        <w:rFonts w:ascii="Arial" w:hAnsi="Arial" w:hint="default"/>
      </w:rPr>
    </w:lvl>
    <w:lvl w:ilvl="7" w:tplc="D45677A2" w:tentative="1">
      <w:start w:val="1"/>
      <w:numFmt w:val="bullet"/>
      <w:lvlText w:val="•"/>
      <w:lvlJc w:val="left"/>
      <w:pPr>
        <w:tabs>
          <w:tab w:val="num" w:pos="5760"/>
        </w:tabs>
        <w:ind w:left="5760" w:hanging="360"/>
      </w:pPr>
      <w:rPr>
        <w:rFonts w:ascii="Arial" w:hAnsi="Arial" w:hint="default"/>
      </w:rPr>
    </w:lvl>
    <w:lvl w:ilvl="8" w:tplc="EE6EB2DE" w:tentative="1">
      <w:start w:val="1"/>
      <w:numFmt w:val="bullet"/>
      <w:lvlText w:val="•"/>
      <w:lvlJc w:val="left"/>
      <w:pPr>
        <w:tabs>
          <w:tab w:val="num" w:pos="6480"/>
        </w:tabs>
        <w:ind w:left="6480" w:hanging="360"/>
      </w:pPr>
      <w:rPr>
        <w:rFonts w:ascii="Arial" w:hAnsi="Arial" w:hint="default"/>
      </w:rPr>
    </w:lvl>
  </w:abstractNum>
  <w:abstractNum w:abstractNumId="3">
    <w:nsid w:val="69216F51"/>
    <w:multiLevelType w:val="hybridMultilevel"/>
    <w:tmpl w:val="91C6C34C"/>
    <w:lvl w:ilvl="0" w:tplc="C2AE054E">
      <w:start w:val="1"/>
      <w:numFmt w:val="bullet"/>
      <w:lvlText w:val="-"/>
      <w:lvlJc w:val="left"/>
      <w:pPr>
        <w:tabs>
          <w:tab w:val="num" w:pos="720"/>
        </w:tabs>
        <w:ind w:left="720" w:hanging="360"/>
      </w:pPr>
      <w:rPr>
        <w:rFonts w:ascii="Arial" w:hAnsi="Arial" w:hint="default"/>
      </w:rPr>
    </w:lvl>
    <w:lvl w:ilvl="1" w:tplc="E642343E" w:tentative="1">
      <w:start w:val="1"/>
      <w:numFmt w:val="bullet"/>
      <w:lvlText w:val="-"/>
      <w:lvlJc w:val="left"/>
      <w:pPr>
        <w:tabs>
          <w:tab w:val="num" w:pos="1440"/>
        </w:tabs>
        <w:ind w:left="1440" w:hanging="360"/>
      </w:pPr>
      <w:rPr>
        <w:rFonts w:ascii="Arial" w:hAnsi="Arial" w:hint="default"/>
      </w:rPr>
    </w:lvl>
    <w:lvl w:ilvl="2" w:tplc="AD1A66E0" w:tentative="1">
      <w:start w:val="1"/>
      <w:numFmt w:val="bullet"/>
      <w:lvlText w:val="-"/>
      <w:lvlJc w:val="left"/>
      <w:pPr>
        <w:tabs>
          <w:tab w:val="num" w:pos="2160"/>
        </w:tabs>
        <w:ind w:left="2160" w:hanging="360"/>
      </w:pPr>
      <w:rPr>
        <w:rFonts w:ascii="Arial" w:hAnsi="Arial" w:hint="default"/>
      </w:rPr>
    </w:lvl>
    <w:lvl w:ilvl="3" w:tplc="0DAA8FDC" w:tentative="1">
      <w:start w:val="1"/>
      <w:numFmt w:val="bullet"/>
      <w:lvlText w:val="-"/>
      <w:lvlJc w:val="left"/>
      <w:pPr>
        <w:tabs>
          <w:tab w:val="num" w:pos="2880"/>
        </w:tabs>
        <w:ind w:left="2880" w:hanging="360"/>
      </w:pPr>
      <w:rPr>
        <w:rFonts w:ascii="Arial" w:hAnsi="Arial" w:hint="default"/>
      </w:rPr>
    </w:lvl>
    <w:lvl w:ilvl="4" w:tplc="6450D822" w:tentative="1">
      <w:start w:val="1"/>
      <w:numFmt w:val="bullet"/>
      <w:lvlText w:val="-"/>
      <w:lvlJc w:val="left"/>
      <w:pPr>
        <w:tabs>
          <w:tab w:val="num" w:pos="3600"/>
        </w:tabs>
        <w:ind w:left="3600" w:hanging="360"/>
      </w:pPr>
      <w:rPr>
        <w:rFonts w:ascii="Arial" w:hAnsi="Arial" w:hint="default"/>
      </w:rPr>
    </w:lvl>
    <w:lvl w:ilvl="5" w:tplc="16866CEC" w:tentative="1">
      <w:start w:val="1"/>
      <w:numFmt w:val="bullet"/>
      <w:lvlText w:val="-"/>
      <w:lvlJc w:val="left"/>
      <w:pPr>
        <w:tabs>
          <w:tab w:val="num" w:pos="4320"/>
        </w:tabs>
        <w:ind w:left="4320" w:hanging="360"/>
      </w:pPr>
      <w:rPr>
        <w:rFonts w:ascii="Arial" w:hAnsi="Arial" w:hint="default"/>
      </w:rPr>
    </w:lvl>
    <w:lvl w:ilvl="6" w:tplc="223CCBA4" w:tentative="1">
      <w:start w:val="1"/>
      <w:numFmt w:val="bullet"/>
      <w:lvlText w:val="-"/>
      <w:lvlJc w:val="left"/>
      <w:pPr>
        <w:tabs>
          <w:tab w:val="num" w:pos="5040"/>
        </w:tabs>
        <w:ind w:left="5040" w:hanging="360"/>
      </w:pPr>
      <w:rPr>
        <w:rFonts w:ascii="Arial" w:hAnsi="Arial" w:hint="default"/>
      </w:rPr>
    </w:lvl>
    <w:lvl w:ilvl="7" w:tplc="EA960878" w:tentative="1">
      <w:start w:val="1"/>
      <w:numFmt w:val="bullet"/>
      <w:lvlText w:val="-"/>
      <w:lvlJc w:val="left"/>
      <w:pPr>
        <w:tabs>
          <w:tab w:val="num" w:pos="5760"/>
        </w:tabs>
        <w:ind w:left="5760" w:hanging="360"/>
      </w:pPr>
      <w:rPr>
        <w:rFonts w:ascii="Arial" w:hAnsi="Arial" w:hint="default"/>
      </w:rPr>
    </w:lvl>
    <w:lvl w:ilvl="8" w:tplc="370E887C" w:tentative="1">
      <w:start w:val="1"/>
      <w:numFmt w:val="bullet"/>
      <w:lvlText w:val="-"/>
      <w:lvlJc w:val="left"/>
      <w:pPr>
        <w:tabs>
          <w:tab w:val="num" w:pos="6480"/>
        </w:tabs>
        <w:ind w:left="6480" w:hanging="360"/>
      </w:pPr>
      <w:rPr>
        <w:rFonts w:ascii="Arial" w:hAnsi="Arial" w:hint="default"/>
      </w:rPr>
    </w:lvl>
  </w:abstractNum>
  <w:abstractNum w:abstractNumId="4">
    <w:nsid w:val="6B6C53D5"/>
    <w:multiLevelType w:val="hybridMultilevel"/>
    <w:tmpl w:val="BDFE3996"/>
    <w:lvl w:ilvl="0" w:tplc="A21C73E8">
      <w:start w:val="1"/>
      <w:numFmt w:val="bullet"/>
      <w:lvlText w:val="-"/>
      <w:lvlJc w:val="left"/>
      <w:pPr>
        <w:tabs>
          <w:tab w:val="num" w:pos="720"/>
        </w:tabs>
        <w:ind w:left="720" w:hanging="360"/>
      </w:pPr>
      <w:rPr>
        <w:rFonts w:ascii="Arial" w:hAnsi="Arial" w:hint="default"/>
      </w:rPr>
    </w:lvl>
    <w:lvl w:ilvl="1" w:tplc="F60CD7BC" w:tentative="1">
      <w:start w:val="1"/>
      <w:numFmt w:val="bullet"/>
      <w:lvlText w:val="-"/>
      <w:lvlJc w:val="left"/>
      <w:pPr>
        <w:tabs>
          <w:tab w:val="num" w:pos="1440"/>
        </w:tabs>
        <w:ind w:left="1440" w:hanging="360"/>
      </w:pPr>
      <w:rPr>
        <w:rFonts w:ascii="Arial" w:hAnsi="Arial" w:hint="default"/>
      </w:rPr>
    </w:lvl>
    <w:lvl w:ilvl="2" w:tplc="F01AB5FE" w:tentative="1">
      <w:start w:val="1"/>
      <w:numFmt w:val="bullet"/>
      <w:lvlText w:val="-"/>
      <w:lvlJc w:val="left"/>
      <w:pPr>
        <w:tabs>
          <w:tab w:val="num" w:pos="2160"/>
        </w:tabs>
        <w:ind w:left="2160" w:hanging="360"/>
      </w:pPr>
      <w:rPr>
        <w:rFonts w:ascii="Arial" w:hAnsi="Arial" w:hint="default"/>
      </w:rPr>
    </w:lvl>
    <w:lvl w:ilvl="3" w:tplc="6002840C" w:tentative="1">
      <w:start w:val="1"/>
      <w:numFmt w:val="bullet"/>
      <w:lvlText w:val="-"/>
      <w:lvlJc w:val="left"/>
      <w:pPr>
        <w:tabs>
          <w:tab w:val="num" w:pos="2880"/>
        </w:tabs>
        <w:ind w:left="2880" w:hanging="360"/>
      </w:pPr>
      <w:rPr>
        <w:rFonts w:ascii="Arial" w:hAnsi="Arial" w:hint="default"/>
      </w:rPr>
    </w:lvl>
    <w:lvl w:ilvl="4" w:tplc="6598EC20" w:tentative="1">
      <w:start w:val="1"/>
      <w:numFmt w:val="bullet"/>
      <w:lvlText w:val="-"/>
      <w:lvlJc w:val="left"/>
      <w:pPr>
        <w:tabs>
          <w:tab w:val="num" w:pos="3600"/>
        </w:tabs>
        <w:ind w:left="3600" w:hanging="360"/>
      </w:pPr>
      <w:rPr>
        <w:rFonts w:ascii="Arial" w:hAnsi="Arial" w:hint="default"/>
      </w:rPr>
    </w:lvl>
    <w:lvl w:ilvl="5" w:tplc="3F4E00FA" w:tentative="1">
      <w:start w:val="1"/>
      <w:numFmt w:val="bullet"/>
      <w:lvlText w:val="-"/>
      <w:lvlJc w:val="left"/>
      <w:pPr>
        <w:tabs>
          <w:tab w:val="num" w:pos="4320"/>
        </w:tabs>
        <w:ind w:left="4320" w:hanging="360"/>
      </w:pPr>
      <w:rPr>
        <w:rFonts w:ascii="Arial" w:hAnsi="Arial" w:hint="default"/>
      </w:rPr>
    </w:lvl>
    <w:lvl w:ilvl="6" w:tplc="D3B0BADA" w:tentative="1">
      <w:start w:val="1"/>
      <w:numFmt w:val="bullet"/>
      <w:lvlText w:val="-"/>
      <w:lvlJc w:val="left"/>
      <w:pPr>
        <w:tabs>
          <w:tab w:val="num" w:pos="5040"/>
        </w:tabs>
        <w:ind w:left="5040" w:hanging="360"/>
      </w:pPr>
      <w:rPr>
        <w:rFonts w:ascii="Arial" w:hAnsi="Arial" w:hint="default"/>
      </w:rPr>
    </w:lvl>
    <w:lvl w:ilvl="7" w:tplc="C17412E6" w:tentative="1">
      <w:start w:val="1"/>
      <w:numFmt w:val="bullet"/>
      <w:lvlText w:val="-"/>
      <w:lvlJc w:val="left"/>
      <w:pPr>
        <w:tabs>
          <w:tab w:val="num" w:pos="5760"/>
        </w:tabs>
        <w:ind w:left="5760" w:hanging="360"/>
      </w:pPr>
      <w:rPr>
        <w:rFonts w:ascii="Arial" w:hAnsi="Arial" w:hint="default"/>
      </w:rPr>
    </w:lvl>
    <w:lvl w:ilvl="8" w:tplc="7C9CD8D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E6"/>
    <w:rsid w:val="00002D3F"/>
    <w:rsid w:val="000041E0"/>
    <w:rsid w:val="000052D3"/>
    <w:rsid w:val="00006027"/>
    <w:rsid w:val="00006B51"/>
    <w:rsid w:val="00006BAE"/>
    <w:rsid w:val="000109AC"/>
    <w:rsid w:val="00011B83"/>
    <w:rsid w:val="0001438C"/>
    <w:rsid w:val="000156BA"/>
    <w:rsid w:val="00017A8A"/>
    <w:rsid w:val="000217D0"/>
    <w:rsid w:val="00023E33"/>
    <w:rsid w:val="00026AFF"/>
    <w:rsid w:val="00034064"/>
    <w:rsid w:val="00034B1A"/>
    <w:rsid w:val="00035EB9"/>
    <w:rsid w:val="0003792E"/>
    <w:rsid w:val="0005115B"/>
    <w:rsid w:val="00052474"/>
    <w:rsid w:val="000555E1"/>
    <w:rsid w:val="0005681B"/>
    <w:rsid w:val="000613EA"/>
    <w:rsid w:val="00062128"/>
    <w:rsid w:val="00071839"/>
    <w:rsid w:val="0007275A"/>
    <w:rsid w:val="00073A2D"/>
    <w:rsid w:val="00075B09"/>
    <w:rsid w:val="000836C1"/>
    <w:rsid w:val="000859C7"/>
    <w:rsid w:val="00095896"/>
    <w:rsid w:val="000A1603"/>
    <w:rsid w:val="000A4564"/>
    <w:rsid w:val="000A699A"/>
    <w:rsid w:val="000A721C"/>
    <w:rsid w:val="000A7C43"/>
    <w:rsid w:val="000B040D"/>
    <w:rsid w:val="000B1478"/>
    <w:rsid w:val="000B1D03"/>
    <w:rsid w:val="000B24A1"/>
    <w:rsid w:val="000B2A98"/>
    <w:rsid w:val="000B55DD"/>
    <w:rsid w:val="000B5E0E"/>
    <w:rsid w:val="000B71E4"/>
    <w:rsid w:val="000C278D"/>
    <w:rsid w:val="000C41BA"/>
    <w:rsid w:val="000C6468"/>
    <w:rsid w:val="000C66FB"/>
    <w:rsid w:val="000D02D9"/>
    <w:rsid w:val="000D75F0"/>
    <w:rsid w:val="000E187E"/>
    <w:rsid w:val="000E2EDB"/>
    <w:rsid w:val="000E4EE0"/>
    <w:rsid w:val="000F62BC"/>
    <w:rsid w:val="000F65AB"/>
    <w:rsid w:val="00103071"/>
    <w:rsid w:val="00104BB6"/>
    <w:rsid w:val="001056E4"/>
    <w:rsid w:val="001111D5"/>
    <w:rsid w:val="00111D46"/>
    <w:rsid w:val="001130E0"/>
    <w:rsid w:val="00113E2C"/>
    <w:rsid w:val="00116678"/>
    <w:rsid w:val="00117B27"/>
    <w:rsid w:val="00117CAA"/>
    <w:rsid w:val="00124F49"/>
    <w:rsid w:val="0012525F"/>
    <w:rsid w:val="00125CCA"/>
    <w:rsid w:val="00127BF1"/>
    <w:rsid w:val="00131917"/>
    <w:rsid w:val="00131C1C"/>
    <w:rsid w:val="00132CBD"/>
    <w:rsid w:val="00133333"/>
    <w:rsid w:val="001352BD"/>
    <w:rsid w:val="001357CD"/>
    <w:rsid w:val="001402DB"/>
    <w:rsid w:val="0014136F"/>
    <w:rsid w:val="00141BC4"/>
    <w:rsid w:val="00141E47"/>
    <w:rsid w:val="00143282"/>
    <w:rsid w:val="00145E3A"/>
    <w:rsid w:val="00150481"/>
    <w:rsid w:val="001514FB"/>
    <w:rsid w:val="0015313F"/>
    <w:rsid w:val="00155EFB"/>
    <w:rsid w:val="00161826"/>
    <w:rsid w:val="00161FB6"/>
    <w:rsid w:val="00162DE3"/>
    <w:rsid w:val="00162E2D"/>
    <w:rsid w:val="001632BF"/>
    <w:rsid w:val="00167222"/>
    <w:rsid w:val="00170C05"/>
    <w:rsid w:val="0017117E"/>
    <w:rsid w:val="0017422B"/>
    <w:rsid w:val="001749D1"/>
    <w:rsid w:val="00185BB5"/>
    <w:rsid w:val="001920AD"/>
    <w:rsid w:val="00194816"/>
    <w:rsid w:val="00194CE9"/>
    <w:rsid w:val="00195E4D"/>
    <w:rsid w:val="001A05BA"/>
    <w:rsid w:val="001A0999"/>
    <w:rsid w:val="001A2000"/>
    <w:rsid w:val="001A247C"/>
    <w:rsid w:val="001A3E03"/>
    <w:rsid w:val="001A61F0"/>
    <w:rsid w:val="001A713B"/>
    <w:rsid w:val="001A7206"/>
    <w:rsid w:val="001B1F98"/>
    <w:rsid w:val="001B329B"/>
    <w:rsid w:val="001B713E"/>
    <w:rsid w:val="001C0DF3"/>
    <w:rsid w:val="001C3F06"/>
    <w:rsid w:val="001C4E7A"/>
    <w:rsid w:val="001C5C3A"/>
    <w:rsid w:val="001C7FF6"/>
    <w:rsid w:val="001D36AB"/>
    <w:rsid w:val="001D6A4B"/>
    <w:rsid w:val="001E1AAB"/>
    <w:rsid w:val="001E3FF1"/>
    <w:rsid w:val="001E5EA6"/>
    <w:rsid w:val="001E5EAC"/>
    <w:rsid w:val="001E6E43"/>
    <w:rsid w:val="001E7600"/>
    <w:rsid w:val="001E7724"/>
    <w:rsid w:val="001E7A6B"/>
    <w:rsid w:val="001F3193"/>
    <w:rsid w:val="001F3EC1"/>
    <w:rsid w:val="00201971"/>
    <w:rsid w:val="00201F02"/>
    <w:rsid w:val="00203FC6"/>
    <w:rsid w:val="0020523A"/>
    <w:rsid w:val="00207C91"/>
    <w:rsid w:val="002106E5"/>
    <w:rsid w:val="00212380"/>
    <w:rsid w:val="002126CD"/>
    <w:rsid w:val="002140E3"/>
    <w:rsid w:val="002216F7"/>
    <w:rsid w:val="0022347F"/>
    <w:rsid w:val="00224D8F"/>
    <w:rsid w:val="00227F4F"/>
    <w:rsid w:val="002321B2"/>
    <w:rsid w:val="00232254"/>
    <w:rsid w:val="002324F9"/>
    <w:rsid w:val="00234980"/>
    <w:rsid w:val="00240435"/>
    <w:rsid w:val="00241BB1"/>
    <w:rsid w:val="0024325A"/>
    <w:rsid w:val="0024516C"/>
    <w:rsid w:val="0024627A"/>
    <w:rsid w:val="00252B70"/>
    <w:rsid w:val="00255668"/>
    <w:rsid w:val="00255B0F"/>
    <w:rsid w:val="00255B59"/>
    <w:rsid w:val="0025636C"/>
    <w:rsid w:val="0026213C"/>
    <w:rsid w:val="002648A8"/>
    <w:rsid w:val="00266F90"/>
    <w:rsid w:val="00274636"/>
    <w:rsid w:val="00274BE6"/>
    <w:rsid w:val="0027520B"/>
    <w:rsid w:val="00275AEB"/>
    <w:rsid w:val="00275E7F"/>
    <w:rsid w:val="00277510"/>
    <w:rsid w:val="00281A4A"/>
    <w:rsid w:val="00282695"/>
    <w:rsid w:val="00284713"/>
    <w:rsid w:val="00286409"/>
    <w:rsid w:val="00291058"/>
    <w:rsid w:val="00291659"/>
    <w:rsid w:val="00291CEB"/>
    <w:rsid w:val="00293506"/>
    <w:rsid w:val="00295C42"/>
    <w:rsid w:val="00297728"/>
    <w:rsid w:val="002A0801"/>
    <w:rsid w:val="002A1198"/>
    <w:rsid w:val="002A4FB6"/>
    <w:rsid w:val="002A55A1"/>
    <w:rsid w:val="002A7A35"/>
    <w:rsid w:val="002B17E2"/>
    <w:rsid w:val="002B1F02"/>
    <w:rsid w:val="002B2328"/>
    <w:rsid w:val="002B435A"/>
    <w:rsid w:val="002C1314"/>
    <w:rsid w:val="002C57ED"/>
    <w:rsid w:val="002D10A7"/>
    <w:rsid w:val="002D19FF"/>
    <w:rsid w:val="002D1F9B"/>
    <w:rsid w:val="002D2B4F"/>
    <w:rsid w:val="002D43FC"/>
    <w:rsid w:val="002E09DF"/>
    <w:rsid w:val="002E27AD"/>
    <w:rsid w:val="002F3B86"/>
    <w:rsid w:val="002F707B"/>
    <w:rsid w:val="00303067"/>
    <w:rsid w:val="00303361"/>
    <w:rsid w:val="00304E89"/>
    <w:rsid w:val="00307E35"/>
    <w:rsid w:val="00313B22"/>
    <w:rsid w:val="0031620F"/>
    <w:rsid w:val="003173EF"/>
    <w:rsid w:val="00317AA6"/>
    <w:rsid w:val="00317F90"/>
    <w:rsid w:val="003205A5"/>
    <w:rsid w:val="0032693B"/>
    <w:rsid w:val="00330402"/>
    <w:rsid w:val="003316F9"/>
    <w:rsid w:val="00333913"/>
    <w:rsid w:val="00334076"/>
    <w:rsid w:val="00334E71"/>
    <w:rsid w:val="00336CDF"/>
    <w:rsid w:val="00337621"/>
    <w:rsid w:val="00337F06"/>
    <w:rsid w:val="00340F5C"/>
    <w:rsid w:val="00343964"/>
    <w:rsid w:val="00344941"/>
    <w:rsid w:val="00344D28"/>
    <w:rsid w:val="0035440E"/>
    <w:rsid w:val="00356B3F"/>
    <w:rsid w:val="0036260D"/>
    <w:rsid w:val="00365D67"/>
    <w:rsid w:val="00366994"/>
    <w:rsid w:val="0036797A"/>
    <w:rsid w:val="0037659D"/>
    <w:rsid w:val="00377969"/>
    <w:rsid w:val="00382CB5"/>
    <w:rsid w:val="0038311F"/>
    <w:rsid w:val="00384C84"/>
    <w:rsid w:val="00390607"/>
    <w:rsid w:val="00394017"/>
    <w:rsid w:val="00396190"/>
    <w:rsid w:val="00397741"/>
    <w:rsid w:val="003A463C"/>
    <w:rsid w:val="003A4C42"/>
    <w:rsid w:val="003A4DD8"/>
    <w:rsid w:val="003A50E1"/>
    <w:rsid w:val="003A707B"/>
    <w:rsid w:val="003B1B44"/>
    <w:rsid w:val="003B1FE2"/>
    <w:rsid w:val="003B2606"/>
    <w:rsid w:val="003B4018"/>
    <w:rsid w:val="003C3CC4"/>
    <w:rsid w:val="003C74E0"/>
    <w:rsid w:val="003C7957"/>
    <w:rsid w:val="003C7D52"/>
    <w:rsid w:val="003D1CDD"/>
    <w:rsid w:val="003D2726"/>
    <w:rsid w:val="003D5441"/>
    <w:rsid w:val="003D6405"/>
    <w:rsid w:val="003E0152"/>
    <w:rsid w:val="003E36B0"/>
    <w:rsid w:val="003E4FA1"/>
    <w:rsid w:val="003E65A8"/>
    <w:rsid w:val="003F1557"/>
    <w:rsid w:val="003F1B05"/>
    <w:rsid w:val="003F3725"/>
    <w:rsid w:val="003F53A4"/>
    <w:rsid w:val="003F7E29"/>
    <w:rsid w:val="004007D3"/>
    <w:rsid w:val="00402A11"/>
    <w:rsid w:val="0040324D"/>
    <w:rsid w:val="00404183"/>
    <w:rsid w:val="00404756"/>
    <w:rsid w:val="00405452"/>
    <w:rsid w:val="00407F3A"/>
    <w:rsid w:val="00410BCA"/>
    <w:rsid w:val="004121B6"/>
    <w:rsid w:val="00414EBD"/>
    <w:rsid w:val="004206BE"/>
    <w:rsid w:val="00421463"/>
    <w:rsid w:val="0042280C"/>
    <w:rsid w:val="00422ADC"/>
    <w:rsid w:val="0042322B"/>
    <w:rsid w:val="00423864"/>
    <w:rsid w:val="00424857"/>
    <w:rsid w:val="0042530D"/>
    <w:rsid w:val="004253D9"/>
    <w:rsid w:val="00430D7B"/>
    <w:rsid w:val="00431089"/>
    <w:rsid w:val="004334FA"/>
    <w:rsid w:val="00436639"/>
    <w:rsid w:val="0044472D"/>
    <w:rsid w:val="004450ED"/>
    <w:rsid w:val="0044581B"/>
    <w:rsid w:val="00446232"/>
    <w:rsid w:val="00450B8B"/>
    <w:rsid w:val="00450E3E"/>
    <w:rsid w:val="00451BFB"/>
    <w:rsid w:val="0045427F"/>
    <w:rsid w:val="0045553F"/>
    <w:rsid w:val="004555F8"/>
    <w:rsid w:val="0046252B"/>
    <w:rsid w:val="004650A3"/>
    <w:rsid w:val="00467295"/>
    <w:rsid w:val="00472982"/>
    <w:rsid w:val="00472F54"/>
    <w:rsid w:val="00473ED9"/>
    <w:rsid w:val="0047477B"/>
    <w:rsid w:val="00475598"/>
    <w:rsid w:val="00482B2C"/>
    <w:rsid w:val="00482C66"/>
    <w:rsid w:val="00483879"/>
    <w:rsid w:val="00484624"/>
    <w:rsid w:val="00486572"/>
    <w:rsid w:val="0049004D"/>
    <w:rsid w:val="004906CD"/>
    <w:rsid w:val="0049164C"/>
    <w:rsid w:val="00492DF1"/>
    <w:rsid w:val="0049458E"/>
    <w:rsid w:val="00494E9E"/>
    <w:rsid w:val="004959B0"/>
    <w:rsid w:val="0049661D"/>
    <w:rsid w:val="004A1229"/>
    <w:rsid w:val="004A4CC9"/>
    <w:rsid w:val="004A5AAF"/>
    <w:rsid w:val="004B1DF9"/>
    <w:rsid w:val="004B2683"/>
    <w:rsid w:val="004B4025"/>
    <w:rsid w:val="004B454B"/>
    <w:rsid w:val="004B6B1D"/>
    <w:rsid w:val="004C1584"/>
    <w:rsid w:val="004C6A24"/>
    <w:rsid w:val="004D26F7"/>
    <w:rsid w:val="004D6DF1"/>
    <w:rsid w:val="004D700C"/>
    <w:rsid w:val="004E1DBF"/>
    <w:rsid w:val="004E2B1F"/>
    <w:rsid w:val="004E4079"/>
    <w:rsid w:val="004E5705"/>
    <w:rsid w:val="004E5B58"/>
    <w:rsid w:val="004E6E09"/>
    <w:rsid w:val="004E7C17"/>
    <w:rsid w:val="004F00B0"/>
    <w:rsid w:val="004F1D12"/>
    <w:rsid w:val="004F3533"/>
    <w:rsid w:val="00504B3A"/>
    <w:rsid w:val="005052AE"/>
    <w:rsid w:val="005101CD"/>
    <w:rsid w:val="00520A1D"/>
    <w:rsid w:val="00521399"/>
    <w:rsid w:val="00521AFF"/>
    <w:rsid w:val="00526AC2"/>
    <w:rsid w:val="005279CA"/>
    <w:rsid w:val="00530623"/>
    <w:rsid w:val="00530F0B"/>
    <w:rsid w:val="00537749"/>
    <w:rsid w:val="00540C3C"/>
    <w:rsid w:val="00540CD2"/>
    <w:rsid w:val="0054104C"/>
    <w:rsid w:val="00542D1D"/>
    <w:rsid w:val="005516CC"/>
    <w:rsid w:val="00560A45"/>
    <w:rsid w:val="00560DE4"/>
    <w:rsid w:val="00563B8D"/>
    <w:rsid w:val="0056441C"/>
    <w:rsid w:val="00566740"/>
    <w:rsid w:val="0056768B"/>
    <w:rsid w:val="00570052"/>
    <w:rsid w:val="00573574"/>
    <w:rsid w:val="00573812"/>
    <w:rsid w:val="005743E8"/>
    <w:rsid w:val="005744A8"/>
    <w:rsid w:val="005747B2"/>
    <w:rsid w:val="005754DB"/>
    <w:rsid w:val="00582A6C"/>
    <w:rsid w:val="00584EAF"/>
    <w:rsid w:val="00586455"/>
    <w:rsid w:val="00586DE4"/>
    <w:rsid w:val="00586F43"/>
    <w:rsid w:val="0059221D"/>
    <w:rsid w:val="00592596"/>
    <w:rsid w:val="00592C5A"/>
    <w:rsid w:val="00593073"/>
    <w:rsid w:val="005930A7"/>
    <w:rsid w:val="005934E3"/>
    <w:rsid w:val="005937C9"/>
    <w:rsid w:val="0059439A"/>
    <w:rsid w:val="00596456"/>
    <w:rsid w:val="005A043F"/>
    <w:rsid w:val="005A2CA5"/>
    <w:rsid w:val="005B1D87"/>
    <w:rsid w:val="005B354C"/>
    <w:rsid w:val="005B3641"/>
    <w:rsid w:val="005B3F7A"/>
    <w:rsid w:val="005B5BAA"/>
    <w:rsid w:val="005C0873"/>
    <w:rsid w:val="005C2650"/>
    <w:rsid w:val="005C2780"/>
    <w:rsid w:val="005C3CCD"/>
    <w:rsid w:val="005D1457"/>
    <w:rsid w:val="005D2851"/>
    <w:rsid w:val="005D64EC"/>
    <w:rsid w:val="005D669C"/>
    <w:rsid w:val="005D73E4"/>
    <w:rsid w:val="005D75B8"/>
    <w:rsid w:val="005D7E65"/>
    <w:rsid w:val="005E1476"/>
    <w:rsid w:val="005E1E36"/>
    <w:rsid w:val="005E2514"/>
    <w:rsid w:val="005E4939"/>
    <w:rsid w:val="005E4BF4"/>
    <w:rsid w:val="005E67A0"/>
    <w:rsid w:val="005E75A1"/>
    <w:rsid w:val="005F0E9A"/>
    <w:rsid w:val="005F31D2"/>
    <w:rsid w:val="005F723B"/>
    <w:rsid w:val="005F7715"/>
    <w:rsid w:val="00600473"/>
    <w:rsid w:val="00603777"/>
    <w:rsid w:val="00604518"/>
    <w:rsid w:val="00612A89"/>
    <w:rsid w:val="00615EEE"/>
    <w:rsid w:val="0062039D"/>
    <w:rsid w:val="00622999"/>
    <w:rsid w:val="00622FBF"/>
    <w:rsid w:val="00623843"/>
    <w:rsid w:val="0062741A"/>
    <w:rsid w:val="00630293"/>
    <w:rsid w:val="00632D5A"/>
    <w:rsid w:val="00635806"/>
    <w:rsid w:val="00641365"/>
    <w:rsid w:val="00641CA5"/>
    <w:rsid w:val="00642334"/>
    <w:rsid w:val="0064285D"/>
    <w:rsid w:val="00643169"/>
    <w:rsid w:val="0064380E"/>
    <w:rsid w:val="0064433A"/>
    <w:rsid w:val="00644C36"/>
    <w:rsid w:val="00650D25"/>
    <w:rsid w:val="00651362"/>
    <w:rsid w:val="00652209"/>
    <w:rsid w:val="00652B6E"/>
    <w:rsid w:val="0065395E"/>
    <w:rsid w:val="006575CF"/>
    <w:rsid w:val="006630CD"/>
    <w:rsid w:val="00665F24"/>
    <w:rsid w:val="0066776B"/>
    <w:rsid w:val="00675BAF"/>
    <w:rsid w:val="00675F23"/>
    <w:rsid w:val="00675F7E"/>
    <w:rsid w:val="00680F27"/>
    <w:rsid w:val="00683572"/>
    <w:rsid w:val="006848A4"/>
    <w:rsid w:val="00685555"/>
    <w:rsid w:val="0069198C"/>
    <w:rsid w:val="00691CFC"/>
    <w:rsid w:val="00695D8A"/>
    <w:rsid w:val="00695E0B"/>
    <w:rsid w:val="00697A8B"/>
    <w:rsid w:val="006A132C"/>
    <w:rsid w:val="006A27A0"/>
    <w:rsid w:val="006A3C26"/>
    <w:rsid w:val="006A6713"/>
    <w:rsid w:val="006A704E"/>
    <w:rsid w:val="006B2C36"/>
    <w:rsid w:val="006B425C"/>
    <w:rsid w:val="006B7F7D"/>
    <w:rsid w:val="006C2DBA"/>
    <w:rsid w:val="006C4962"/>
    <w:rsid w:val="006D0FD0"/>
    <w:rsid w:val="006D172A"/>
    <w:rsid w:val="006D26E8"/>
    <w:rsid w:val="006D33D5"/>
    <w:rsid w:val="006D398A"/>
    <w:rsid w:val="006D7A50"/>
    <w:rsid w:val="006E1363"/>
    <w:rsid w:val="006E1614"/>
    <w:rsid w:val="006E2CBB"/>
    <w:rsid w:val="006E3DFE"/>
    <w:rsid w:val="006E42BC"/>
    <w:rsid w:val="006E7323"/>
    <w:rsid w:val="006F3B35"/>
    <w:rsid w:val="006F477D"/>
    <w:rsid w:val="006F547E"/>
    <w:rsid w:val="006F5D46"/>
    <w:rsid w:val="006F6AAC"/>
    <w:rsid w:val="0070158B"/>
    <w:rsid w:val="00706DD2"/>
    <w:rsid w:val="00707D7C"/>
    <w:rsid w:val="00710E48"/>
    <w:rsid w:val="00714A01"/>
    <w:rsid w:val="00715306"/>
    <w:rsid w:val="00717D71"/>
    <w:rsid w:val="0072065D"/>
    <w:rsid w:val="007206A3"/>
    <w:rsid w:val="00721EA3"/>
    <w:rsid w:val="00722A20"/>
    <w:rsid w:val="00731F0A"/>
    <w:rsid w:val="00735F82"/>
    <w:rsid w:val="007362E6"/>
    <w:rsid w:val="00737235"/>
    <w:rsid w:val="007436A4"/>
    <w:rsid w:val="0074617B"/>
    <w:rsid w:val="00754424"/>
    <w:rsid w:val="00754FBC"/>
    <w:rsid w:val="00761DF3"/>
    <w:rsid w:val="007634F0"/>
    <w:rsid w:val="00764A2B"/>
    <w:rsid w:val="00764F9B"/>
    <w:rsid w:val="00771500"/>
    <w:rsid w:val="00772702"/>
    <w:rsid w:val="00773E13"/>
    <w:rsid w:val="0077659A"/>
    <w:rsid w:val="007804F2"/>
    <w:rsid w:val="007817E7"/>
    <w:rsid w:val="00784C6D"/>
    <w:rsid w:val="00786A76"/>
    <w:rsid w:val="00786AD6"/>
    <w:rsid w:val="00786DEB"/>
    <w:rsid w:val="00793CA2"/>
    <w:rsid w:val="007960CA"/>
    <w:rsid w:val="00797A26"/>
    <w:rsid w:val="007A0214"/>
    <w:rsid w:val="007A138D"/>
    <w:rsid w:val="007A20BB"/>
    <w:rsid w:val="007A7156"/>
    <w:rsid w:val="007A7680"/>
    <w:rsid w:val="007A7EB3"/>
    <w:rsid w:val="007B2B67"/>
    <w:rsid w:val="007B44CE"/>
    <w:rsid w:val="007B5D20"/>
    <w:rsid w:val="007B6624"/>
    <w:rsid w:val="007C4877"/>
    <w:rsid w:val="007C4AAF"/>
    <w:rsid w:val="007D11E1"/>
    <w:rsid w:val="007D1B94"/>
    <w:rsid w:val="007D7E64"/>
    <w:rsid w:val="007E0640"/>
    <w:rsid w:val="007E1942"/>
    <w:rsid w:val="007E502E"/>
    <w:rsid w:val="007E5443"/>
    <w:rsid w:val="007F24C1"/>
    <w:rsid w:val="007F253B"/>
    <w:rsid w:val="007F5C0E"/>
    <w:rsid w:val="0080011C"/>
    <w:rsid w:val="008006AB"/>
    <w:rsid w:val="00800DFE"/>
    <w:rsid w:val="00801131"/>
    <w:rsid w:val="00802CC0"/>
    <w:rsid w:val="00807B8C"/>
    <w:rsid w:val="0081264B"/>
    <w:rsid w:val="0081471A"/>
    <w:rsid w:val="008153B4"/>
    <w:rsid w:val="00815E34"/>
    <w:rsid w:val="008160A1"/>
    <w:rsid w:val="00821314"/>
    <w:rsid w:val="0082247A"/>
    <w:rsid w:val="008224D0"/>
    <w:rsid w:val="00822A3D"/>
    <w:rsid w:val="00824D1D"/>
    <w:rsid w:val="00830920"/>
    <w:rsid w:val="008313A3"/>
    <w:rsid w:val="008364D0"/>
    <w:rsid w:val="00842C74"/>
    <w:rsid w:val="00843025"/>
    <w:rsid w:val="00844EEB"/>
    <w:rsid w:val="008472C5"/>
    <w:rsid w:val="0084769D"/>
    <w:rsid w:val="00851C4E"/>
    <w:rsid w:val="00854317"/>
    <w:rsid w:val="00856859"/>
    <w:rsid w:val="008573BF"/>
    <w:rsid w:val="008640F8"/>
    <w:rsid w:val="00865980"/>
    <w:rsid w:val="00866658"/>
    <w:rsid w:val="00866B62"/>
    <w:rsid w:val="00867084"/>
    <w:rsid w:val="00871606"/>
    <w:rsid w:val="00872CD4"/>
    <w:rsid w:val="008745FE"/>
    <w:rsid w:val="0087485F"/>
    <w:rsid w:val="008763E2"/>
    <w:rsid w:val="008800F5"/>
    <w:rsid w:val="00885389"/>
    <w:rsid w:val="00886CE6"/>
    <w:rsid w:val="008933CE"/>
    <w:rsid w:val="00894A56"/>
    <w:rsid w:val="00895B59"/>
    <w:rsid w:val="00896C96"/>
    <w:rsid w:val="008A0329"/>
    <w:rsid w:val="008A20C8"/>
    <w:rsid w:val="008A2DD7"/>
    <w:rsid w:val="008A32CD"/>
    <w:rsid w:val="008A3914"/>
    <w:rsid w:val="008A5577"/>
    <w:rsid w:val="008A7B52"/>
    <w:rsid w:val="008B249C"/>
    <w:rsid w:val="008B3CE3"/>
    <w:rsid w:val="008B4024"/>
    <w:rsid w:val="008B5FD2"/>
    <w:rsid w:val="008B7BE4"/>
    <w:rsid w:val="008C19C6"/>
    <w:rsid w:val="008C3811"/>
    <w:rsid w:val="008C3F97"/>
    <w:rsid w:val="008C7E6C"/>
    <w:rsid w:val="008D28BB"/>
    <w:rsid w:val="008D29D5"/>
    <w:rsid w:val="008D3F9B"/>
    <w:rsid w:val="008D660D"/>
    <w:rsid w:val="008D6A80"/>
    <w:rsid w:val="008E292B"/>
    <w:rsid w:val="008E73FA"/>
    <w:rsid w:val="008F0D6D"/>
    <w:rsid w:val="008F3464"/>
    <w:rsid w:val="008F4073"/>
    <w:rsid w:val="008F7862"/>
    <w:rsid w:val="0090344C"/>
    <w:rsid w:val="00904C52"/>
    <w:rsid w:val="009124F5"/>
    <w:rsid w:val="00915FFF"/>
    <w:rsid w:val="0092025A"/>
    <w:rsid w:val="00920866"/>
    <w:rsid w:val="009245D1"/>
    <w:rsid w:val="00925304"/>
    <w:rsid w:val="009356B8"/>
    <w:rsid w:val="00941EA4"/>
    <w:rsid w:val="00944428"/>
    <w:rsid w:val="009459EE"/>
    <w:rsid w:val="00951A10"/>
    <w:rsid w:val="00952277"/>
    <w:rsid w:val="009612FC"/>
    <w:rsid w:val="0096445D"/>
    <w:rsid w:val="00964F49"/>
    <w:rsid w:val="009725E2"/>
    <w:rsid w:val="009809A4"/>
    <w:rsid w:val="00982425"/>
    <w:rsid w:val="00984546"/>
    <w:rsid w:val="00985C68"/>
    <w:rsid w:val="00985E17"/>
    <w:rsid w:val="00987D47"/>
    <w:rsid w:val="00990CA0"/>
    <w:rsid w:val="00992661"/>
    <w:rsid w:val="0099765D"/>
    <w:rsid w:val="009A0320"/>
    <w:rsid w:val="009A17B4"/>
    <w:rsid w:val="009A5855"/>
    <w:rsid w:val="009A7AEC"/>
    <w:rsid w:val="009B2564"/>
    <w:rsid w:val="009B2F8D"/>
    <w:rsid w:val="009B4700"/>
    <w:rsid w:val="009B5831"/>
    <w:rsid w:val="009B5888"/>
    <w:rsid w:val="009B59BE"/>
    <w:rsid w:val="009B6071"/>
    <w:rsid w:val="009B6BF7"/>
    <w:rsid w:val="009B6D1C"/>
    <w:rsid w:val="009B73A3"/>
    <w:rsid w:val="009B7FA8"/>
    <w:rsid w:val="009C094F"/>
    <w:rsid w:val="009C28D0"/>
    <w:rsid w:val="009C69D9"/>
    <w:rsid w:val="009C7F71"/>
    <w:rsid w:val="009D1343"/>
    <w:rsid w:val="009D16D8"/>
    <w:rsid w:val="009D3003"/>
    <w:rsid w:val="009D6AD1"/>
    <w:rsid w:val="009D726A"/>
    <w:rsid w:val="009E1478"/>
    <w:rsid w:val="009E2826"/>
    <w:rsid w:val="009E3B52"/>
    <w:rsid w:val="009E4379"/>
    <w:rsid w:val="009E7B36"/>
    <w:rsid w:val="009F4321"/>
    <w:rsid w:val="009F4D1E"/>
    <w:rsid w:val="009F6014"/>
    <w:rsid w:val="00A02DFC"/>
    <w:rsid w:val="00A04DF0"/>
    <w:rsid w:val="00A115CE"/>
    <w:rsid w:val="00A1438B"/>
    <w:rsid w:val="00A14C92"/>
    <w:rsid w:val="00A219AF"/>
    <w:rsid w:val="00A224BC"/>
    <w:rsid w:val="00A224E9"/>
    <w:rsid w:val="00A22F12"/>
    <w:rsid w:val="00A2408A"/>
    <w:rsid w:val="00A31F2C"/>
    <w:rsid w:val="00A3319E"/>
    <w:rsid w:val="00A35CB1"/>
    <w:rsid w:val="00A35E2D"/>
    <w:rsid w:val="00A368AD"/>
    <w:rsid w:val="00A40579"/>
    <w:rsid w:val="00A42067"/>
    <w:rsid w:val="00A45BAF"/>
    <w:rsid w:val="00A45E51"/>
    <w:rsid w:val="00A47699"/>
    <w:rsid w:val="00A47A1B"/>
    <w:rsid w:val="00A51B51"/>
    <w:rsid w:val="00A54FDF"/>
    <w:rsid w:val="00A567D5"/>
    <w:rsid w:val="00A61AC0"/>
    <w:rsid w:val="00A61B20"/>
    <w:rsid w:val="00A64882"/>
    <w:rsid w:val="00A65034"/>
    <w:rsid w:val="00A66DA0"/>
    <w:rsid w:val="00A70743"/>
    <w:rsid w:val="00A70A04"/>
    <w:rsid w:val="00A71F27"/>
    <w:rsid w:val="00A762A3"/>
    <w:rsid w:val="00A777E3"/>
    <w:rsid w:val="00A806DF"/>
    <w:rsid w:val="00A845D0"/>
    <w:rsid w:val="00A84D7F"/>
    <w:rsid w:val="00A858C6"/>
    <w:rsid w:val="00A86B78"/>
    <w:rsid w:val="00A87735"/>
    <w:rsid w:val="00A87C52"/>
    <w:rsid w:val="00A90B25"/>
    <w:rsid w:val="00A9158E"/>
    <w:rsid w:val="00A92239"/>
    <w:rsid w:val="00A92AA2"/>
    <w:rsid w:val="00A92E81"/>
    <w:rsid w:val="00A94096"/>
    <w:rsid w:val="00AA1401"/>
    <w:rsid w:val="00AA15F1"/>
    <w:rsid w:val="00AA2239"/>
    <w:rsid w:val="00AA28CE"/>
    <w:rsid w:val="00AA2C0C"/>
    <w:rsid w:val="00AA3EE9"/>
    <w:rsid w:val="00AA4DCA"/>
    <w:rsid w:val="00AB0397"/>
    <w:rsid w:val="00AB12D8"/>
    <w:rsid w:val="00AB32D0"/>
    <w:rsid w:val="00AB4E97"/>
    <w:rsid w:val="00AB56F0"/>
    <w:rsid w:val="00AB6C9B"/>
    <w:rsid w:val="00AC0A23"/>
    <w:rsid w:val="00AC2FA7"/>
    <w:rsid w:val="00AC4496"/>
    <w:rsid w:val="00AC4CF1"/>
    <w:rsid w:val="00AC74BA"/>
    <w:rsid w:val="00AD08FB"/>
    <w:rsid w:val="00AD5331"/>
    <w:rsid w:val="00AE0175"/>
    <w:rsid w:val="00AE3350"/>
    <w:rsid w:val="00AE59C0"/>
    <w:rsid w:val="00AE65D0"/>
    <w:rsid w:val="00AF12C8"/>
    <w:rsid w:val="00AF5B95"/>
    <w:rsid w:val="00AF779C"/>
    <w:rsid w:val="00AF79E1"/>
    <w:rsid w:val="00B00D1C"/>
    <w:rsid w:val="00B00EE3"/>
    <w:rsid w:val="00B027AF"/>
    <w:rsid w:val="00B0318E"/>
    <w:rsid w:val="00B0487C"/>
    <w:rsid w:val="00B04F4E"/>
    <w:rsid w:val="00B055B9"/>
    <w:rsid w:val="00B11DE8"/>
    <w:rsid w:val="00B16237"/>
    <w:rsid w:val="00B17322"/>
    <w:rsid w:val="00B17912"/>
    <w:rsid w:val="00B20CD2"/>
    <w:rsid w:val="00B22C95"/>
    <w:rsid w:val="00B25ECB"/>
    <w:rsid w:val="00B27E18"/>
    <w:rsid w:val="00B359FC"/>
    <w:rsid w:val="00B35E1A"/>
    <w:rsid w:val="00B37315"/>
    <w:rsid w:val="00B43B2D"/>
    <w:rsid w:val="00B46BA0"/>
    <w:rsid w:val="00B471C9"/>
    <w:rsid w:val="00B5254F"/>
    <w:rsid w:val="00B52E1A"/>
    <w:rsid w:val="00B54FC8"/>
    <w:rsid w:val="00B56078"/>
    <w:rsid w:val="00B61FDF"/>
    <w:rsid w:val="00B6322F"/>
    <w:rsid w:val="00B639C9"/>
    <w:rsid w:val="00B70F6B"/>
    <w:rsid w:val="00B73436"/>
    <w:rsid w:val="00B75D77"/>
    <w:rsid w:val="00B76397"/>
    <w:rsid w:val="00B819AA"/>
    <w:rsid w:val="00B82B5E"/>
    <w:rsid w:val="00B94019"/>
    <w:rsid w:val="00B940DB"/>
    <w:rsid w:val="00B94B4C"/>
    <w:rsid w:val="00B9568D"/>
    <w:rsid w:val="00B95E88"/>
    <w:rsid w:val="00B970FF"/>
    <w:rsid w:val="00B972A8"/>
    <w:rsid w:val="00B974C0"/>
    <w:rsid w:val="00BA118A"/>
    <w:rsid w:val="00BA30C3"/>
    <w:rsid w:val="00BA311E"/>
    <w:rsid w:val="00BB2D2B"/>
    <w:rsid w:val="00BB363E"/>
    <w:rsid w:val="00BC0E7B"/>
    <w:rsid w:val="00BC0EBE"/>
    <w:rsid w:val="00BC315E"/>
    <w:rsid w:val="00BC3937"/>
    <w:rsid w:val="00BD0385"/>
    <w:rsid w:val="00BD19F9"/>
    <w:rsid w:val="00BD6F78"/>
    <w:rsid w:val="00BE00C3"/>
    <w:rsid w:val="00BE1C6C"/>
    <w:rsid w:val="00BE4709"/>
    <w:rsid w:val="00BF25A3"/>
    <w:rsid w:val="00BF3E4C"/>
    <w:rsid w:val="00BF6892"/>
    <w:rsid w:val="00C0028F"/>
    <w:rsid w:val="00C03600"/>
    <w:rsid w:val="00C045ED"/>
    <w:rsid w:val="00C05566"/>
    <w:rsid w:val="00C06EA3"/>
    <w:rsid w:val="00C17B19"/>
    <w:rsid w:val="00C222E9"/>
    <w:rsid w:val="00C2783A"/>
    <w:rsid w:val="00C27EEA"/>
    <w:rsid w:val="00C30B66"/>
    <w:rsid w:val="00C3267A"/>
    <w:rsid w:val="00C32B6B"/>
    <w:rsid w:val="00C352A5"/>
    <w:rsid w:val="00C426D7"/>
    <w:rsid w:val="00C52397"/>
    <w:rsid w:val="00C54815"/>
    <w:rsid w:val="00C55AB2"/>
    <w:rsid w:val="00C55E0A"/>
    <w:rsid w:val="00C61DD3"/>
    <w:rsid w:val="00C622B3"/>
    <w:rsid w:val="00C630A3"/>
    <w:rsid w:val="00C673B6"/>
    <w:rsid w:val="00C6790B"/>
    <w:rsid w:val="00C70977"/>
    <w:rsid w:val="00C74290"/>
    <w:rsid w:val="00C76DD5"/>
    <w:rsid w:val="00C81D5B"/>
    <w:rsid w:val="00C8252B"/>
    <w:rsid w:val="00C82BCE"/>
    <w:rsid w:val="00C83800"/>
    <w:rsid w:val="00C84276"/>
    <w:rsid w:val="00C848EC"/>
    <w:rsid w:val="00C90FF0"/>
    <w:rsid w:val="00C9430C"/>
    <w:rsid w:val="00CA0F5E"/>
    <w:rsid w:val="00CA435A"/>
    <w:rsid w:val="00CA6825"/>
    <w:rsid w:val="00CB34E6"/>
    <w:rsid w:val="00CB4474"/>
    <w:rsid w:val="00CC4B62"/>
    <w:rsid w:val="00CC4C8A"/>
    <w:rsid w:val="00CC7027"/>
    <w:rsid w:val="00CC77E3"/>
    <w:rsid w:val="00CE0C7B"/>
    <w:rsid w:val="00CE0F3A"/>
    <w:rsid w:val="00CE4B8F"/>
    <w:rsid w:val="00CE6A09"/>
    <w:rsid w:val="00CF475C"/>
    <w:rsid w:val="00CF552B"/>
    <w:rsid w:val="00CF5AE6"/>
    <w:rsid w:val="00D00E55"/>
    <w:rsid w:val="00D02FB9"/>
    <w:rsid w:val="00D054BE"/>
    <w:rsid w:val="00D079F8"/>
    <w:rsid w:val="00D10815"/>
    <w:rsid w:val="00D1180E"/>
    <w:rsid w:val="00D13474"/>
    <w:rsid w:val="00D13E0A"/>
    <w:rsid w:val="00D17F11"/>
    <w:rsid w:val="00D216B6"/>
    <w:rsid w:val="00D258F2"/>
    <w:rsid w:val="00D3474B"/>
    <w:rsid w:val="00D36541"/>
    <w:rsid w:val="00D3762A"/>
    <w:rsid w:val="00D37648"/>
    <w:rsid w:val="00D41F89"/>
    <w:rsid w:val="00D4578B"/>
    <w:rsid w:val="00D47470"/>
    <w:rsid w:val="00D51DD8"/>
    <w:rsid w:val="00D55ABF"/>
    <w:rsid w:val="00D57F70"/>
    <w:rsid w:val="00D62151"/>
    <w:rsid w:val="00D64FF3"/>
    <w:rsid w:val="00D66DCE"/>
    <w:rsid w:val="00D702B0"/>
    <w:rsid w:val="00D76B4B"/>
    <w:rsid w:val="00D773AD"/>
    <w:rsid w:val="00D775E5"/>
    <w:rsid w:val="00D848E0"/>
    <w:rsid w:val="00D86612"/>
    <w:rsid w:val="00D91DEF"/>
    <w:rsid w:val="00D96A72"/>
    <w:rsid w:val="00DA3288"/>
    <w:rsid w:val="00DA34F5"/>
    <w:rsid w:val="00DA498A"/>
    <w:rsid w:val="00DA6C2A"/>
    <w:rsid w:val="00DA6CE3"/>
    <w:rsid w:val="00DB10E1"/>
    <w:rsid w:val="00DB2767"/>
    <w:rsid w:val="00DB7CB2"/>
    <w:rsid w:val="00DC0203"/>
    <w:rsid w:val="00DC49B2"/>
    <w:rsid w:val="00DC6D69"/>
    <w:rsid w:val="00DD6B17"/>
    <w:rsid w:val="00DE3855"/>
    <w:rsid w:val="00DE7FC9"/>
    <w:rsid w:val="00DF1103"/>
    <w:rsid w:val="00DF45F7"/>
    <w:rsid w:val="00DF4F25"/>
    <w:rsid w:val="00DF50A0"/>
    <w:rsid w:val="00DF5F98"/>
    <w:rsid w:val="00E000F2"/>
    <w:rsid w:val="00E03BB6"/>
    <w:rsid w:val="00E03EB4"/>
    <w:rsid w:val="00E1024A"/>
    <w:rsid w:val="00E11322"/>
    <w:rsid w:val="00E156C8"/>
    <w:rsid w:val="00E16C7E"/>
    <w:rsid w:val="00E16FFE"/>
    <w:rsid w:val="00E17632"/>
    <w:rsid w:val="00E21B6B"/>
    <w:rsid w:val="00E23BFD"/>
    <w:rsid w:val="00E24FA2"/>
    <w:rsid w:val="00E257ED"/>
    <w:rsid w:val="00E30DFB"/>
    <w:rsid w:val="00E31ECE"/>
    <w:rsid w:val="00E32ECB"/>
    <w:rsid w:val="00E3337C"/>
    <w:rsid w:val="00E3398D"/>
    <w:rsid w:val="00E34B7D"/>
    <w:rsid w:val="00E369ED"/>
    <w:rsid w:val="00E415DB"/>
    <w:rsid w:val="00E416E2"/>
    <w:rsid w:val="00E43279"/>
    <w:rsid w:val="00E45432"/>
    <w:rsid w:val="00E5084C"/>
    <w:rsid w:val="00E62FF6"/>
    <w:rsid w:val="00E66E76"/>
    <w:rsid w:val="00E67352"/>
    <w:rsid w:val="00E67761"/>
    <w:rsid w:val="00E70273"/>
    <w:rsid w:val="00E71D91"/>
    <w:rsid w:val="00E72D53"/>
    <w:rsid w:val="00E766E1"/>
    <w:rsid w:val="00E7702D"/>
    <w:rsid w:val="00E84780"/>
    <w:rsid w:val="00E85D92"/>
    <w:rsid w:val="00E90B7F"/>
    <w:rsid w:val="00E9188C"/>
    <w:rsid w:val="00E92279"/>
    <w:rsid w:val="00E9677E"/>
    <w:rsid w:val="00EA0190"/>
    <w:rsid w:val="00EA0C4A"/>
    <w:rsid w:val="00EA1544"/>
    <w:rsid w:val="00EA1FC2"/>
    <w:rsid w:val="00EB090F"/>
    <w:rsid w:val="00EB1007"/>
    <w:rsid w:val="00EB104B"/>
    <w:rsid w:val="00EB439C"/>
    <w:rsid w:val="00EB5A0E"/>
    <w:rsid w:val="00EB7A2E"/>
    <w:rsid w:val="00EC06E2"/>
    <w:rsid w:val="00EC1AD4"/>
    <w:rsid w:val="00EC1FD7"/>
    <w:rsid w:val="00EC543C"/>
    <w:rsid w:val="00EC7934"/>
    <w:rsid w:val="00ED6E5F"/>
    <w:rsid w:val="00ED7723"/>
    <w:rsid w:val="00ED7FDE"/>
    <w:rsid w:val="00EE4685"/>
    <w:rsid w:val="00EF1EA5"/>
    <w:rsid w:val="00EF454E"/>
    <w:rsid w:val="00EF6547"/>
    <w:rsid w:val="00F012CB"/>
    <w:rsid w:val="00F01458"/>
    <w:rsid w:val="00F0158F"/>
    <w:rsid w:val="00F019A6"/>
    <w:rsid w:val="00F032F8"/>
    <w:rsid w:val="00F06E2E"/>
    <w:rsid w:val="00F12895"/>
    <w:rsid w:val="00F1514B"/>
    <w:rsid w:val="00F15738"/>
    <w:rsid w:val="00F177D3"/>
    <w:rsid w:val="00F21B3C"/>
    <w:rsid w:val="00F21BE6"/>
    <w:rsid w:val="00F238E3"/>
    <w:rsid w:val="00F23E7B"/>
    <w:rsid w:val="00F24FF9"/>
    <w:rsid w:val="00F27F86"/>
    <w:rsid w:val="00F31307"/>
    <w:rsid w:val="00F3295F"/>
    <w:rsid w:val="00F33CC8"/>
    <w:rsid w:val="00F35FF5"/>
    <w:rsid w:val="00F37827"/>
    <w:rsid w:val="00F42577"/>
    <w:rsid w:val="00F4339B"/>
    <w:rsid w:val="00F43C51"/>
    <w:rsid w:val="00F44CDC"/>
    <w:rsid w:val="00F459B2"/>
    <w:rsid w:val="00F46BC3"/>
    <w:rsid w:val="00F54241"/>
    <w:rsid w:val="00F5678C"/>
    <w:rsid w:val="00F5790D"/>
    <w:rsid w:val="00F60C39"/>
    <w:rsid w:val="00F60F38"/>
    <w:rsid w:val="00F61270"/>
    <w:rsid w:val="00F6377B"/>
    <w:rsid w:val="00F66BFE"/>
    <w:rsid w:val="00F71923"/>
    <w:rsid w:val="00F71ED1"/>
    <w:rsid w:val="00F73246"/>
    <w:rsid w:val="00F74879"/>
    <w:rsid w:val="00F758B9"/>
    <w:rsid w:val="00F841E1"/>
    <w:rsid w:val="00F8701D"/>
    <w:rsid w:val="00F871DC"/>
    <w:rsid w:val="00F90116"/>
    <w:rsid w:val="00F909DE"/>
    <w:rsid w:val="00F90DA0"/>
    <w:rsid w:val="00F92408"/>
    <w:rsid w:val="00F93893"/>
    <w:rsid w:val="00F94B04"/>
    <w:rsid w:val="00F9795C"/>
    <w:rsid w:val="00FA0ADD"/>
    <w:rsid w:val="00FA48CD"/>
    <w:rsid w:val="00FA5418"/>
    <w:rsid w:val="00FA566B"/>
    <w:rsid w:val="00FA721E"/>
    <w:rsid w:val="00FA7446"/>
    <w:rsid w:val="00FB0EC2"/>
    <w:rsid w:val="00FB0F42"/>
    <w:rsid w:val="00FB35A4"/>
    <w:rsid w:val="00FB7786"/>
    <w:rsid w:val="00FC0FB3"/>
    <w:rsid w:val="00FC1DEA"/>
    <w:rsid w:val="00FC25D3"/>
    <w:rsid w:val="00FC7626"/>
    <w:rsid w:val="00FD25E8"/>
    <w:rsid w:val="00FD3670"/>
    <w:rsid w:val="00FD3DB1"/>
    <w:rsid w:val="00FE2382"/>
    <w:rsid w:val="00FE23BD"/>
    <w:rsid w:val="00FE4273"/>
    <w:rsid w:val="00FE62F6"/>
    <w:rsid w:val="00FE6453"/>
    <w:rsid w:val="00FE66CB"/>
    <w:rsid w:val="00FF0505"/>
    <w:rsid w:val="00FF314B"/>
    <w:rsid w:val="00FF3F49"/>
    <w:rsid w:val="00FF76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3490"/>
  <w15:docId w15:val="{EFE74636-E9F8-4184-B8A6-130B42C7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character" w:styleId="Hyperlink">
    <w:name w:val="Hyperlink"/>
    <w:basedOn w:val="DefaultParagraphFont"/>
    <w:uiPriority w:val="99"/>
    <w:unhideWhenUsed/>
    <w:rsid w:val="00A92E81"/>
    <w:rPr>
      <w:color w:val="0563C1" w:themeColor="hyperlink"/>
      <w:u w:val="single"/>
    </w:rPr>
  </w:style>
  <w:style w:type="character" w:customStyle="1" w:styleId="fontstyle01">
    <w:name w:val="fontstyle01"/>
    <w:basedOn w:val="DefaultParagraphFont"/>
    <w:rsid w:val="00034B1A"/>
    <w:rPr>
      <w:rFonts w:ascii="Times-Roman" w:hAnsi="Times-Roman" w:hint="default"/>
      <w:b w:val="0"/>
      <w:bCs w:val="0"/>
      <w:i w:val="0"/>
      <w:iCs w:val="0"/>
      <w:color w:val="000000"/>
      <w:sz w:val="20"/>
      <w:szCs w:val="20"/>
    </w:rPr>
  </w:style>
  <w:style w:type="paragraph" w:styleId="ListParagraph">
    <w:name w:val="List Paragraph"/>
    <w:basedOn w:val="Normal"/>
    <w:uiPriority w:val="34"/>
    <w:qFormat/>
    <w:rsid w:val="00A47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16878">
      <w:bodyDiv w:val="1"/>
      <w:marLeft w:val="0"/>
      <w:marRight w:val="0"/>
      <w:marTop w:val="0"/>
      <w:marBottom w:val="0"/>
      <w:divBdr>
        <w:top w:val="none" w:sz="0" w:space="0" w:color="auto"/>
        <w:left w:val="none" w:sz="0" w:space="0" w:color="auto"/>
        <w:bottom w:val="none" w:sz="0" w:space="0" w:color="auto"/>
        <w:right w:val="none" w:sz="0" w:space="0" w:color="auto"/>
      </w:divBdr>
      <w:divsChild>
        <w:div w:id="417286046">
          <w:marLeft w:val="446"/>
          <w:marRight w:val="0"/>
          <w:marTop w:val="0"/>
          <w:marBottom w:val="0"/>
          <w:divBdr>
            <w:top w:val="none" w:sz="0" w:space="0" w:color="auto"/>
            <w:left w:val="none" w:sz="0" w:space="0" w:color="auto"/>
            <w:bottom w:val="none" w:sz="0" w:space="0" w:color="auto"/>
            <w:right w:val="none" w:sz="0" w:space="0" w:color="auto"/>
          </w:divBdr>
        </w:div>
        <w:div w:id="458888029">
          <w:marLeft w:val="446"/>
          <w:marRight w:val="0"/>
          <w:marTop w:val="0"/>
          <w:marBottom w:val="0"/>
          <w:divBdr>
            <w:top w:val="none" w:sz="0" w:space="0" w:color="auto"/>
            <w:left w:val="none" w:sz="0" w:space="0" w:color="auto"/>
            <w:bottom w:val="none" w:sz="0" w:space="0" w:color="auto"/>
            <w:right w:val="none" w:sz="0" w:space="0" w:color="auto"/>
          </w:divBdr>
        </w:div>
        <w:div w:id="260528234">
          <w:marLeft w:val="446"/>
          <w:marRight w:val="0"/>
          <w:marTop w:val="0"/>
          <w:marBottom w:val="0"/>
          <w:divBdr>
            <w:top w:val="none" w:sz="0" w:space="0" w:color="auto"/>
            <w:left w:val="none" w:sz="0" w:space="0" w:color="auto"/>
            <w:bottom w:val="none" w:sz="0" w:space="0" w:color="auto"/>
            <w:right w:val="none" w:sz="0" w:space="0" w:color="auto"/>
          </w:divBdr>
        </w:div>
        <w:div w:id="1166823871">
          <w:marLeft w:val="446"/>
          <w:marRight w:val="0"/>
          <w:marTop w:val="0"/>
          <w:marBottom w:val="0"/>
          <w:divBdr>
            <w:top w:val="none" w:sz="0" w:space="0" w:color="auto"/>
            <w:left w:val="none" w:sz="0" w:space="0" w:color="auto"/>
            <w:bottom w:val="none" w:sz="0" w:space="0" w:color="auto"/>
            <w:right w:val="none" w:sz="0" w:space="0" w:color="auto"/>
          </w:divBdr>
        </w:div>
        <w:div w:id="1744377290">
          <w:marLeft w:val="446"/>
          <w:marRight w:val="0"/>
          <w:marTop w:val="0"/>
          <w:marBottom w:val="0"/>
          <w:divBdr>
            <w:top w:val="none" w:sz="0" w:space="0" w:color="auto"/>
            <w:left w:val="none" w:sz="0" w:space="0" w:color="auto"/>
            <w:bottom w:val="none" w:sz="0" w:space="0" w:color="auto"/>
            <w:right w:val="none" w:sz="0" w:space="0" w:color="auto"/>
          </w:divBdr>
        </w:div>
        <w:div w:id="2078821130">
          <w:marLeft w:val="446"/>
          <w:marRight w:val="0"/>
          <w:marTop w:val="0"/>
          <w:marBottom w:val="0"/>
          <w:divBdr>
            <w:top w:val="none" w:sz="0" w:space="0" w:color="auto"/>
            <w:left w:val="none" w:sz="0" w:space="0" w:color="auto"/>
            <w:bottom w:val="none" w:sz="0" w:space="0" w:color="auto"/>
            <w:right w:val="none" w:sz="0" w:space="0" w:color="auto"/>
          </w:divBdr>
        </w:div>
        <w:div w:id="833644918">
          <w:marLeft w:val="446"/>
          <w:marRight w:val="0"/>
          <w:marTop w:val="0"/>
          <w:marBottom w:val="0"/>
          <w:divBdr>
            <w:top w:val="none" w:sz="0" w:space="0" w:color="auto"/>
            <w:left w:val="none" w:sz="0" w:space="0" w:color="auto"/>
            <w:bottom w:val="none" w:sz="0" w:space="0" w:color="auto"/>
            <w:right w:val="none" w:sz="0" w:space="0" w:color="auto"/>
          </w:divBdr>
        </w:div>
        <w:div w:id="330378600">
          <w:marLeft w:val="446"/>
          <w:marRight w:val="0"/>
          <w:marTop w:val="0"/>
          <w:marBottom w:val="0"/>
          <w:divBdr>
            <w:top w:val="none" w:sz="0" w:space="0" w:color="auto"/>
            <w:left w:val="none" w:sz="0" w:space="0" w:color="auto"/>
            <w:bottom w:val="none" w:sz="0" w:space="0" w:color="auto"/>
            <w:right w:val="none" w:sz="0" w:space="0" w:color="auto"/>
          </w:divBdr>
        </w:div>
        <w:div w:id="985739773">
          <w:marLeft w:val="446"/>
          <w:marRight w:val="0"/>
          <w:marTop w:val="0"/>
          <w:marBottom w:val="0"/>
          <w:divBdr>
            <w:top w:val="none" w:sz="0" w:space="0" w:color="auto"/>
            <w:left w:val="none" w:sz="0" w:space="0" w:color="auto"/>
            <w:bottom w:val="none" w:sz="0" w:space="0" w:color="auto"/>
            <w:right w:val="none" w:sz="0" w:space="0" w:color="auto"/>
          </w:divBdr>
        </w:div>
      </w:divsChild>
    </w:div>
    <w:div w:id="424889332">
      <w:bodyDiv w:val="1"/>
      <w:marLeft w:val="0"/>
      <w:marRight w:val="0"/>
      <w:marTop w:val="0"/>
      <w:marBottom w:val="0"/>
      <w:divBdr>
        <w:top w:val="none" w:sz="0" w:space="0" w:color="auto"/>
        <w:left w:val="none" w:sz="0" w:space="0" w:color="auto"/>
        <w:bottom w:val="none" w:sz="0" w:space="0" w:color="auto"/>
        <w:right w:val="none" w:sz="0" w:space="0" w:color="auto"/>
      </w:divBdr>
      <w:divsChild>
        <w:div w:id="1721706681">
          <w:marLeft w:val="0"/>
          <w:marRight w:val="0"/>
          <w:marTop w:val="0"/>
          <w:marBottom w:val="0"/>
          <w:divBdr>
            <w:top w:val="none" w:sz="0" w:space="0" w:color="auto"/>
            <w:left w:val="none" w:sz="0" w:space="0" w:color="auto"/>
            <w:bottom w:val="none" w:sz="0" w:space="0" w:color="auto"/>
            <w:right w:val="none" w:sz="0" w:space="0" w:color="auto"/>
          </w:divBdr>
          <w:divsChild>
            <w:div w:id="1899825922">
              <w:marLeft w:val="0"/>
              <w:marRight w:val="0"/>
              <w:marTop w:val="0"/>
              <w:marBottom w:val="0"/>
              <w:divBdr>
                <w:top w:val="none" w:sz="0" w:space="0" w:color="auto"/>
                <w:left w:val="none" w:sz="0" w:space="0" w:color="auto"/>
                <w:bottom w:val="none" w:sz="0" w:space="0" w:color="auto"/>
                <w:right w:val="none" w:sz="0" w:space="0" w:color="auto"/>
              </w:divBdr>
              <w:divsChild>
                <w:div w:id="1907714732">
                  <w:marLeft w:val="0"/>
                  <w:marRight w:val="0"/>
                  <w:marTop w:val="0"/>
                  <w:marBottom w:val="0"/>
                  <w:divBdr>
                    <w:top w:val="none" w:sz="0" w:space="0" w:color="auto"/>
                    <w:left w:val="none" w:sz="0" w:space="0" w:color="auto"/>
                    <w:bottom w:val="none" w:sz="0" w:space="0" w:color="auto"/>
                    <w:right w:val="none" w:sz="0" w:space="0" w:color="auto"/>
                  </w:divBdr>
                  <w:divsChild>
                    <w:div w:id="114758010">
                      <w:marLeft w:val="0"/>
                      <w:marRight w:val="0"/>
                      <w:marTop w:val="0"/>
                      <w:marBottom w:val="0"/>
                      <w:divBdr>
                        <w:top w:val="none" w:sz="0" w:space="0" w:color="auto"/>
                        <w:left w:val="none" w:sz="0" w:space="0" w:color="auto"/>
                        <w:bottom w:val="none" w:sz="0" w:space="0" w:color="auto"/>
                        <w:right w:val="none" w:sz="0" w:space="0" w:color="auto"/>
                      </w:divBdr>
                      <w:divsChild>
                        <w:div w:id="347678746">
                          <w:marLeft w:val="0"/>
                          <w:marRight w:val="0"/>
                          <w:marTop w:val="0"/>
                          <w:marBottom w:val="0"/>
                          <w:divBdr>
                            <w:top w:val="none" w:sz="0" w:space="0" w:color="auto"/>
                            <w:left w:val="none" w:sz="0" w:space="0" w:color="auto"/>
                            <w:bottom w:val="none" w:sz="0" w:space="0" w:color="auto"/>
                            <w:right w:val="none" w:sz="0" w:space="0" w:color="auto"/>
                          </w:divBdr>
                          <w:divsChild>
                            <w:div w:id="188566283">
                              <w:marLeft w:val="0"/>
                              <w:marRight w:val="300"/>
                              <w:marTop w:val="180"/>
                              <w:marBottom w:val="0"/>
                              <w:divBdr>
                                <w:top w:val="none" w:sz="0" w:space="0" w:color="auto"/>
                                <w:left w:val="none" w:sz="0" w:space="0" w:color="auto"/>
                                <w:bottom w:val="none" w:sz="0" w:space="0" w:color="auto"/>
                                <w:right w:val="none" w:sz="0" w:space="0" w:color="auto"/>
                              </w:divBdr>
                              <w:divsChild>
                                <w:div w:id="4185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026487">
          <w:marLeft w:val="0"/>
          <w:marRight w:val="0"/>
          <w:marTop w:val="0"/>
          <w:marBottom w:val="0"/>
          <w:divBdr>
            <w:top w:val="none" w:sz="0" w:space="0" w:color="auto"/>
            <w:left w:val="none" w:sz="0" w:space="0" w:color="auto"/>
            <w:bottom w:val="none" w:sz="0" w:space="0" w:color="auto"/>
            <w:right w:val="none" w:sz="0" w:space="0" w:color="auto"/>
          </w:divBdr>
          <w:divsChild>
            <w:div w:id="1220626388">
              <w:marLeft w:val="0"/>
              <w:marRight w:val="0"/>
              <w:marTop w:val="0"/>
              <w:marBottom w:val="0"/>
              <w:divBdr>
                <w:top w:val="none" w:sz="0" w:space="0" w:color="auto"/>
                <w:left w:val="none" w:sz="0" w:space="0" w:color="auto"/>
                <w:bottom w:val="none" w:sz="0" w:space="0" w:color="auto"/>
                <w:right w:val="none" w:sz="0" w:space="0" w:color="auto"/>
              </w:divBdr>
              <w:divsChild>
                <w:div w:id="1268777566">
                  <w:marLeft w:val="0"/>
                  <w:marRight w:val="0"/>
                  <w:marTop w:val="0"/>
                  <w:marBottom w:val="0"/>
                  <w:divBdr>
                    <w:top w:val="none" w:sz="0" w:space="0" w:color="auto"/>
                    <w:left w:val="none" w:sz="0" w:space="0" w:color="auto"/>
                    <w:bottom w:val="none" w:sz="0" w:space="0" w:color="auto"/>
                    <w:right w:val="none" w:sz="0" w:space="0" w:color="auto"/>
                  </w:divBdr>
                  <w:divsChild>
                    <w:div w:id="1369061525">
                      <w:marLeft w:val="0"/>
                      <w:marRight w:val="0"/>
                      <w:marTop w:val="0"/>
                      <w:marBottom w:val="0"/>
                      <w:divBdr>
                        <w:top w:val="none" w:sz="0" w:space="0" w:color="auto"/>
                        <w:left w:val="none" w:sz="0" w:space="0" w:color="auto"/>
                        <w:bottom w:val="none" w:sz="0" w:space="0" w:color="auto"/>
                        <w:right w:val="none" w:sz="0" w:space="0" w:color="auto"/>
                      </w:divBdr>
                      <w:divsChild>
                        <w:div w:id="16617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784010">
      <w:bodyDiv w:val="1"/>
      <w:marLeft w:val="0"/>
      <w:marRight w:val="0"/>
      <w:marTop w:val="0"/>
      <w:marBottom w:val="0"/>
      <w:divBdr>
        <w:top w:val="none" w:sz="0" w:space="0" w:color="auto"/>
        <w:left w:val="none" w:sz="0" w:space="0" w:color="auto"/>
        <w:bottom w:val="none" w:sz="0" w:space="0" w:color="auto"/>
        <w:right w:val="none" w:sz="0" w:space="0" w:color="auto"/>
      </w:divBdr>
      <w:divsChild>
        <w:div w:id="1501968699">
          <w:marLeft w:val="446"/>
          <w:marRight w:val="0"/>
          <w:marTop w:val="0"/>
          <w:marBottom w:val="0"/>
          <w:divBdr>
            <w:top w:val="none" w:sz="0" w:space="0" w:color="auto"/>
            <w:left w:val="none" w:sz="0" w:space="0" w:color="auto"/>
            <w:bottom w:val="none" w:sz="0" w:space="0" w:color="auto"/>
            <w:right w:val="none" w:sz="0" w:space="0" w:color="auto"/>
          </w:divBdr>
        </w:div>
        <w:div w:id="767579226">
          <w:marLeft w:val="446"/>
          <w:marRight w:val="0"/>
          <w:marTop w:val="0"/>
          <w:marBottom w:val="0"/>
          <w:divBdr>
            <w:top w:val="none" w:sz="0" w:space="0" w:color="auto"/>
            <w:left w:val="none" w:sz="0" w:space="0" w:color="auto"/>
            <w:bottom w:val="none" w:sz="0" w:space="0" w:color="auto"/>
            <w:right w:val="none" w:sz="0" w:space="0" w:color="auto"/>
          </w:divBdr>
        </w:div>
        <w:div w:id="1146317972">
          <w:marLeft w:val="446"/>
          <w:marRight w:val="0"/>
          <w:marTop w:val="0"/>
          <w:marBottom w:val="0"/>
          <w:divBdr>
            <w:top w:val="none" w:sz="0" w:space="0" w:color="auto"/>
            <w:left w:val="none" w:sz="0" w:space="0" w:color="auto"/>
            <w:bottom w:val="none" w:sz="0" w:space="0" w:color="auto"/>
            <w:right w:val="none" w:sz="0" w:space="0" w:color="auto"/>
          </w:divBdr>
        </w:div>
        <w:div w:id="1047492601">
          <w:marLeft w:val="446"/>
          <w:marRight w:val="0"/>
          <w:marTop w:val="0"/>
          <w:marBottom w:val="0"/>
          <w:divBdr>
            <w:top w:val="none" w:sz="0" w:space="0" w:color="auto"/>
            <w:left w:val="none" w:sz="0" w:space="0" w:color="auto"/>
            <w:bottom w:val="none" w:sz="0" w:space="0" w:color="auto"/>
            <w:right w:val="none" w:sz="0" w:space="0" w:color="auto"/>
          </w:divBdr>
        </w:div>
        <w:div w:id="1792817962">
          <w:marLeft w:val="446"/>
          <w:marRight w:val="0"/>
          <w:marTop w:val="0"/>
          <w:marBottom w:val="0"/>
          <w:divBdr>
            <w:top w:val="none" w:sz="0" w:space="0" w:color="auto"/>
            <w:left w:val="none" w:sz="0" w:space="0" w:color="auto"/>
            <w:bottom w:val="none" w:sz="0" w:space="0" w:color="auto"/>
            <w:right w:val="none" w:sz="0" w:space="0" w:color="auto"/>
          </w:divBdr>
        </w:div>
        <w:div w:id="963122277">
          <w:marLeft w:val="446"/>
          <w:marRight w:val="0"/>
          <w:marTop w:val="0"/>
          <w:marBottom w:val="0"/>
          <w:divBdr>
            <w:top w:val="none" w:sz="0" w:space="0" w:color="auto"/>
            <w:left w:val="none" w:sz="0" w:space="0" w:color="auto"/>
            <w:bottom w:val="none" w:sz="0" w:space="0" w:color="auto"/>
            <w:right w:val="none" w:sz="0" w:space="0" w:color="auto"/>
          </w:divBdr>
        </w:div>
        <w:div w:id="2075816508">
          <w:marLeft w:val="446"/>
          <w:marRight w:val="0"/>
          <w:marTop w:val="0"/>
          <w:marBottom w:val="0"/>
          <w:divBdr>
            <w:top w:val="none" w:sz="0" w:space="0" w:color="auto"/>
            <w:left w:val="none" w:sz="0" w:space="0" w:color="auto"/>
            <w:bottom w:val="none" w:sz="0" w:space="0" w:color="auto"/>
            <w:right w:val="none" w:sz="0" w:space="0" w:color="auto"/>
          </w:divBdr>
        </w:div>
        <w:div w:id="1359694692">
          <w:marLeft w:val="446"/>
          <w:marRight w:val="0"/>
          <w:marTop w:val="0"/>
          <w:marBottom w:val="0"/>
          <w:divBdr>
            <w:top w:val="none" w:sz="0" w:space="0" w:color="auto"/>
            <w:left w:val="none" w:sz="0" w:space="0" w:color="auto"/>
            <w:bottom w:val="none" w:sz="0" w:space="0" w:color="auto"/>
            <w:right w:val="none" w:sz="0" w:space="0" w:color="auto"/>
          </w:divBdr>
        </w:div>
        <w:div w:id="638070254">
          <w:marLeft w:val="446"/>
          <w:marRight w:val="0"/>
          <w:marTop w:val="0"/>
          <w:marBottom w:val="0"/>
          <w:divBdr>
            <w:top w:val="none" w:sz="0" w:space="0" w:color="auto"/>
            <w:left w:val="none" w:sz="0" w:space="0" w:color="auto"/>
            <w:bottom w:val="none" w:sz="0" w:space="0" w:color="auto"/>
            <w:right w:val="none" w:sz="0" w:space="0" w:color="auto"/>
          </w:divBdr>
        </w:div>
        <w:div w:id="1070419025">
          <w:marLeft w:val="446"/>
          <w:marRight w:val="0"/>
          <w:marTop w:val="0"/>
          <w:marBottom w:val="0"/>
          <w:divBdr>
            <w:top w:val="none" w:sz="0" w:space="0" w:color="auto"/>
            <w:left w:val="none" w:sz="0" w:space="0" w:color="auto"/>
            <w:bottom w:val="none" w:sz="0" w:space="0" w:color="auto"/>
            <w:right w:val="none" w:sz="0" w:space="0" w:color="auto"/>
          </w:divBdr>
        </w:div>
        <w:div w:id="201092753">
          <w:marLeft w:val="446"/>
          <w:marRight w:val="0"/>
          <w:marTop w:val="0"/>
          <w:marBottom w:val="0"/>
          <w:divBdr>
            <w:top w:val="none" w:sz="0" w:space="0" w:color="auto"/>
            <w:left w:val="none" w:sz="0" w:space="0" w:color="auto"/>
            <w:bottom w:val="none" w:sz="0" w:space="0" w:color="auto"/>
            <w:right w:val="none" w:sz="0" w:space="0" w:color="auto"/>
          </w:divBdr>
        </w:div>
        <w:div w:id="1731615098">
          <w:marLeft w:val="446"/>
          <w:marRight w:val="0"/>
          <w:marTop w:val="0"/>
          <w:marBottom w:val="0"/>
          <w:divBdr>
            <w:top w:val="none" w:sz="0" w:space="0" w:color="auto"/>
            <w:left w:val="none" w:sz="0" w:space="0" w:color="auto"/>
            <w:bottom w:val="none" w:sz="0" w:space="0" w:color="auto"/>
            <w:right w:val="none" w:sz="0" w:space="0" w:color="auto"/>
          </w:divBdr>
        </w:div>
        <w:div w:id="1465267800">
          <w:marLeft w:val="446"/>
          <w:marRight w:val="0"/>
          <w:marTop w:val="0"/>
          <w:marBottom w:val="0"/>
          <w:divBdr>
            <w:top w:val="none" w:sz="0" w:space="0" w:color="auto"/>
            <w:left w:val="none" w:sz="0" w:space="0" w:color="auto"/>
            <w:bottom w:val="none" w:sz="0" w:space="0" w:color="auto"/>
            <w:right w:val="none" w:sz="0" w:space="0" w:color="auto"/>
          </w:divBdr>
        </w:div>
        <w:div w:id="879782501">
          <w:marLeft w:val="446"/>
          <w:marRight w:val="0"/>
          <w:marTop w:val="0"/>
          <w:marBottom w:val="0"/>
          <w:divBdr>
            <w:top w:val="none" w:sz="0" w:space="0" w:color="auto"/>
            <w:left w:val="none" w:sz="0" w:space="0" w:color="auto"/>
            <w:bottom w:val="none" w:sz="0" w:space="0" w:color="auto"/>
            <w:right w:val="none" w:sz="0" w:space="0" w:color="auto"/>
          </w:divBdr>
        </w:div>
        <w:div w:id="2005084660">
          <w:marLeft w:val="446"/>
          <w:marRight w:val="0"/>
          <w:marTop w:val="0"/>
          <w:marBottom w:val="0"/>
          <w:divBdr>
            <w:top w:val="none" w:sz="0" w:space="0" w:color="auto"/>
            <w:left w:val="none" w:sz="0" w:space="0" w:color="auto"/>
            <w:bottom w:val="none" w:sz="0" w:space="0" w:color="auto"/>
            <w:right w:val="none" w:sz="0" w:space="0" w:color="auto"/>
          </w:divBdr>
        </w:div>
        <w:div w:id="205338814">
          <w:marLeft w:val="446"/>
          <w:marRight w:val="0"/>
          <w:marTop w:val="0"/>
          <w:marBottom w:val="0"/>
          <w:divBdr>
            <w:top w:val="none" w:sz="0" w:space="0" w:color="auto"/>
            <w:left w:val="none" w:sz="0" w:space="0" w:color="auto"/>
            <w:bottom w:val="none" w:sz="0" w:space="0" w:color="auto"/>
            <w:right w:val="none" w:sz="0" w:space="0" w:color="auto"/>
          </w:divBdr>
        </w:div>
      </w:divsChild>
    </w:div>
    <w:div w:id="1458522968">
      <w:bodyDiv w:val="1"/>
      <w:marLeft w:val="0"/>
      <w:marRight w:val="0"/>
      <w:marTop w:val="0"/>
      <w:marBottom w:val="0"/>
      <w:divBdr>
        <w:top w:val="none" w:sz="0" w:space="0" w:color="auto"/>
        <w:left w:val="none" w:sz="0" w:space="0" w:color="auto"/>
        <w:bottom w:val="none" w:sz="0" w:space="0" w:color="auto"/>
        <w:right w:val="none" w:sz="0" w:space="0" w:color="auto"/>
      </w:divBdr>
      <w:divsChild>
        <w:div w:id="1014262226">
          <w:marLeft w:val="446"/>
          <w:marRight w:val="0"/>
          <w:marTop w:val="0"/>
          <w:marBottom w:val="0"/>
          <w:divBdr>
            <w:top w:val="none" w:sz="0" w:space="0" w:color="auto"/>
            <w:left w:val="none" w:sz="0" w:space="0" w:color="auto"/>
            <w:bottom w:val="none" w:sz="0" w:space="0" w:color="auto"/>
            <w:right w:val="none" w:sz="0" w:space="0" w:color="auto"/>
          </w:divBdr>
        </w:div>
      </w:divsChild>
    </w:div>
    <w:div w:id="1819298256">
      <w:bodyDiv w:val="1"/>
      <w:marLeft w:val="0"/>
      <w:marRight w:val="0"/>
      <w:marTop w:val="0"/>
      <w:marBottom w:val="0"/>
      <w:divBdr>
        <w:top w:val="none" w:sz="0" w:space="0" w:color="auto"/>
        <w:left w:val="none" w:sz="0" w:space="0" w:color="auto"/>
        <w:bottom w:val="none" w:sz="0" w:space="0" w:color="auto"/>
        <w:right w:val="none" w:sz="0" w:space="0" w:color="auto"/>
      </w:divBdr>
      <w:divsChild>
        <w:div w:id="162160690">
          <w:marLeft w:val="446"/>
          <w:marRight w:val="0"/>
          <w:marTop w:val="0"/>
          <w:marBottom w:val="0"/>
          <w:divBdr>
            <w:top w:val="none" w:sz="0" w:space="0" w:color="auto"/>
            <w:left w:val="none" w:sz="0" w:space="0" w:color="auto"/>
            <w:bottom w:val="none" w:sz="0" w:space="0" w:color="auto"/>
            <w:right w:val="none" w:sz="0" w:space="0" w:color="auto"/>
          </w:divBdr>
        </w:div>
        <w:div w:id="406808070">
          <w:marLeft w:val="446"/>
          <w:marRight w:val="0"/>
          <w:marTop w:val="0"/>
          <w:marBottom w:val="0"/>
          <w:divBdr>
            <w:top w:val="none" w:sz="0" w:space="0" w:color="auto"/>
            <w:left w:val="none" w:sz="0" w:space="0" w:color="auto"/>
            <w:bottom w:val="none" w:sz="0" w:space="0" w:color="auto"/>
            <w:right w:val="none" w:sz="0" w:space="0" w:color="auto"/>
          </w:divBdr>
        </w:div>
        <w:div w:id="1468081485">
          <w:marLeft w:val="446"/>
          <w:marRight w:val="0"/>
          <w:marTop w:val="0"/>
          <w:marBottom w:val="0"/>
          <w:divBdr>
            <w:top w:val="none" w:sz="0" w:space="0" w:color="auto"/>
            <w:left w:val="none" w:sz="0" w:space="0" w:color="auto"/>
            <w:bottom w:val="none" w:sz="0" w:space="0" w:color="auto"/>
            <w:right w:val="none" w:sz="0" w:space="0" w:color="auto"/>
          </w:divBdr>
        </w:div>
        <w:div w:id="1846437773">
          <w:marLeft w:val="446"/>
          <w:marRight w:val="0"/>
          <w:marTop w:val="0"/>
          <w:marBottom w:val="0"/>
          <w:divBdr>
            <w:top w:val="none" w:sz="0" w:space="0" w:color="auto"/>
            <w:left w:val="none" w:sz="0" w:space="0" w:color="auto"/>
            <w:bottom w:val="none" w:sz="0" w:space="0" w:color="auto"/>
            <w:right w:val="none" w:sz="0" w:space="0" w:color="auto"/>
          </w:divBdr>
        </w:div>
      </w:divsChild>
    </w:div>
    <w:div w:id="1924141009">
      <w:bodyDiv w:val="1"/>
      <w:marLeft w:val="0"/>
      <w:marRight w:val="0"/>
      <w:marTop w:val="0"/>
      <w:marBottom w:val="0"/>
      <w:divBdr>
        <w:top w:val="none" w:sz="0" w:space="0" w:color="auto"/>
        <w:left w:val="none" w:sz="0" w:space="0" w:color="auto"/>
        <w:bottom w:val="none" w:sz="0" w:space="0" w:color="auto"/>
        <w:right w:val="none" w:sz="0" w:space="0" w:color="auto"/>
      </w:divBdr>
      <w:divsChild>
        <w:div w:id="1179738842">
          <w:marLeft w:val="446"/>
          <w:marRight w:val="0"/>
          <w:marTop w:val="0"/>
          <w:marBottom w:val="0"/>
          <w:divBdr>
            <w:top w:val="none" w:sz="0" w:space="0" w:color="auto"/>
            <w:left w:val="none" w:sz="0" w:space="0" w:color="auto"/>
            <w:bottom w:val="none" w:sz="0" w:space="0" w:color="auto"/>
            <w:right w:val="none" w:sz="0" w:space="0" w:color="auto"/>
          </w:divBdr>
        </w:div>
        <w:div w:id="1954053852">
          <w:marLeft w:val="446"/>
          <w:marRight w:val="0"/>
          <w:marTop w:val="0"/>
          <w:marBottom w:val="0"/>
          <w:divBdr>
            <w:top w:val="none" w:sz="0" w:space="0" w:color="auto"/>
            <w:left w:val="none" w:sz="0" w:space="0" w:color="auto"/>
            <w:bottom w:val="none" w:sz="0" w:space="0" w:color="auto"/>
            <w:right w:val="none" w:sz="0" w:space="0" w:color="auto"/>
          </w:divBdr>
        </w:div>
        <w:div w:id="1337269267">
          <w:marLeft w:val="446"/>
          <w:marRight w:val="0"/>
          <w:marTop w:val="0"/>
          <w:marBottom w:val="0"/>
          <w:divBdr>
            <w:top w:val="none" w:sz="0" w:space="0" w:color="auto"/>
            <w:left w:val="none" w:sz="0" w:space="0" w:color="auto"/>
            <w:bottom w:val="none" w:sz="0" w:space="0" w:color="auto"/>
            <w:right w:val="none" w:sz="0" w:space="0" w:color="auto"/>
          </w:divBdr>
        </w:div>
        <w:div w:id="1015882036">
          <w:marLeft w:val="446"/>
          <w:marRight w:val="0"/>
          <w:marTop w:val="0"/>
          <w:marBottom w:val="0"/>
          <w:divBdr>
            <w:top w:val="none" w:sz="0" w:space="0" w:color="auto"/>
            <w:left w:val="none" w:sz="0" w:space="0" w:color="auto"/>
            <w:bottom w:val="none" w:sz="0" w:space="0" w:color="auto"/>
            <w:right w:val="none" w:sz="0" w:space="0" w:color="auto"/>
          </w:divBdr>
        </w:div>
        <w:div w:id="1645426933">
          <w:marLeft w:val="446"/>
          <w:marRight w:val="0"/>
          <w:marTop w:val="0"/>
          <w:marBottom w:val="0"/>
          <w:divBdr>
            <w:top w:val="none" w:sz="0" w:space="0" w:color="auto"/>
            <w:left w:val="none" w:sz="0" w:space="0" w:color="auto"/>
            <w:bottom w:val="none" w:sz="0" w:space="0" w:color="auto"/>
            <w:right w:val="none" w:sz="0" w:space="0" w:color="auto"/>
          </w:divBdr>
        </w:div>
        <w:div w:id="1910308900">
          <w:marLeft w:val="446"/>
          <w:marRight w:val="0"/>
          <w:marTop w:val="0"/>
          <w:marBottom w:val="0"/>
          <w:divBdr>
            <w:top w:val="none" w:sz="0" w:space="0" w:color="auto"/>
            <w:left w:val="none" w:sz="0" w:space="0" w:color="auto"/>
            <w:bottom w:val="none" w:sz="0" w:space="0" w:color="auto"/>
            <w:right w:val="none" w:sz="0" w:space="0" w:color="auto"/>
          </w:divBdr>
        </w:div>
        <w:div w:id="433478787">
          <w:marLeft w:val="446"/>
          <w:marRight w:val="0"/>
          <w:marTop w:val="0"/>
          <w:marBottom w:val="0"/>
          <w:divBdr>
            <w:top w:val="none" w:sz="0" w:space="0" w:color="auto"/>
            <w:left w:val="none" w:sz="0" w:space="0" w:color="auto"/>
            <w:bottom w:val="none" w:sz="0" w:space="0" w:color="auto"/>
            <w:right w:val="none" w:sz="0" w:space="0" w:color="auto"/>
          </w:divBdr>
        </w:div>
      </w:divsChild>
    </w:div>
    <w:div w:id="2093351112">
      <w:bodyDiv w:val="1"/>
      <w:marLeft w:val="0"/>
      <w:marRight w:val="0"/>
      <w:marTop w:val="0"/>
      <w:marBottom w:val="0"/>
      <w:divBdr>
        <w:top w:val="none" w:sz="0" w:space="0" w:color="auto"/>
        <w:left w:val="none" w:sz="0" w:space="0" w:color="auto"/>
        <w:bottom w:val="none" w:sz="0" w:space="0" w:color="auto"/>
        <w:right w:val="none" w:sz="0" w:space="0" w:color="auto"/>
      </w:divBdr>
    </w:div>
    <w:div w:id="2118286473">
      <w:bodyDiv w:val="1"/>
      <w:marLeft w:val="0"/>
      <w:marRight w:val="0"/>
      <w:marTop w:val="0"/>
      <w:marBottom w:val="0"/>
      <w:divBdr>
        <w:top w:val="none" w:sz="0" w:space="0" w:color="auto"/>
        <w:left w:val="none" w:sz="0" w:space="0" w:color="auto"/>
        <w:bottom w:val="none" w:sz="0" w:space="0" w:color="auto"/>
        <w:right w:val="none" w:sz="0" w:space="0" w:color="auto"/>
      </w:divBdr>
      <w:divsChild>
        <w:div w:id="379674397">
          <w:marLeft w:val="446"/>
          <w:marRight w:val="0"/>
          <w:marTop w:val="0"/>
          <w:marBottom w:val="0"/>
          <w:divBdr>
            <w:top w:val="none" w:sz="0" w:space="0" w:color="auto"/>
            <w:left w:val="none" w:sz="0" w:space="0" w:color="auto"/>
            <w:bottom w:val="none" w:sz="0" w:space="0" w:color="auto"/>
            <w:right w:val="none" w:sz="0" w:space="0" w:color="auto"/>
          </w:divBdr>
        </w:div>
        <w:div w:id="388648332">
          <w:marLeft w:val="446"/>
          <w:marRight w:val="0"/>
          <w:marTop w:val="0"/>
          <w:marBottom w:val="0"/>
          <w:divBdr>
            <w:top w:val="none" w:sz="0" w:space="0" w:color="auto"/>
            <w:left w:val="none" w:sz="0" w:space="0" w:color="auto"/>
            <w:bottom w:val="none" w:sz="0" w:space="0" w:color="auto"/>
            <w:right w:val="none" w:sz="0" w:space="0" w:color="auto"/>
          </w:divBdr>
        </w:div>
        <w:div w:id="1517771418">
          <w:marLeft w:val="446"/>
          <w:marRight w:val="0"/>
          <w:marTop w:val="0"/>
          <w:marBottom w:val="0"/>
          <w:divBdr>
            <w:top w:val="none" w:sz="0" w:space="0" w:color="auto"/>
            <w:left w:val="none" w:sz="0" w:space="0" w:color="auto"/>
            <w:bottom w:val="none" w:sz="0" w:space="0" w:color="auto"/>
            <w:right w:val="none" w:sz="0" w:space="0" w:color="auto"/>
          </w:divBdr>
        </w:div>
        <w:div w:id="207619017">
          <w:marLeft w:val="446"/>
          <w:marRight w:val="0"/>
          <w:marTop w:val="0"/>
          <w:marBottom w:val="0"/>
          <w:divBdr>
            <w:top w:val="none" w:sz="0" w:space="0" w:color="auto"/>
            <w:left w:val="none" w:sz="0" w:space="0" w:color="auto"/>
            <w:bottom w:val="none" w:sz="0" w:space="0" w:color="auto"/>
            <w:right w:val="none" w:sz="0" w:space="0" w:color="auto"/>
          </w:divBdr>
        </w:div>
        <w:div w:id="1179731469">
          <w:marLeft w:val="446"/>
          <w:marRight w:val="0"/>
          <w:marTop w:val="0"/>
          <w:marBottom w:val="0"/>
          <w:divBdr>
            <w:top w:val="none" w:sz="0" w:space="0" w:color="auto"/>
            <w:left w:val="none" w:sz="0" w:space="0" w:color="auto"/>
            <w:bottom w:val="none" w:sz="0" w:space="0" w:color="auto"/>
            <w:right w:val="none" w:sz="0" w:space="0" w:color="auto"/>
          </w:divBdr>
        </w:div>
        <w:div w:id="618682078">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Tugas%20Kuliah\Seminar%20dan%20Jurnal\ICSSED%202020\Rekap%20Press%20Release%20Kemenparekra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Tugas%20Kuliah\Seminar%20dan%20Jurnal\ICSSED%202020\Rekap%20Press%20Release%20Kemenparekraf.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Presentase!$A$2:$A$4</c:f>
              <c:strCache>
                <c:ptCount val="3"/>
                <c:pt idx="0">
                  <c:v>Tourism-themed press release (52)</c:v>
                </c:pt>
                <c:pt idx="1">
                  <c:v>Creative economy themed press releases (16)</c:v>
                </c:pt>
                <c:pt idx="2">
                  <c:v>Press releases cover both (27)</c:v>
                </c:pt>
              </c:strCache>
            </c:strRef>
          </c:cat>
          <c:val>
            <c:numRef>
              <c:f>Presentase!$B$2:$B$4</c:f>
              <c:numCache>
                <c:formatCode>General</c:formatCode>
                <c:ptCount val="3"/>
                <c:pt idx="0">
                  <c:v>52</c:v>
                </c:pt>
                <c:pt idx="1">
                  <c:v>16</c:v>
                </c:pt>
                <c:pt idx="2">
                  <c:v>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Presentase!$A$8:$A$9</c:f>
              <c:strCache>
                <c:ptCount val="2"/>
                <c:pt idx="0">
                  <c:v>Specific press release on the application of special health protocols in the tourism sector and creative economy  (31)</c:v>
                </c:pt>
                <c:pt idx="1">
                  <c:v>Other tourism-themed press release (16)</c:v>
                </c:pt>
              </c:strCache>
            </c:strRef>
          </c:cat>
          <c:val>
            <c:numRef>
              <c:f>Presentase!$B$8:$B$9</c:f>
              <c:numCache>
                <c:formatCode>General</c:formatCode>
                <c:ptCount val="2"/>
                <c:pt idx="0">
                  <c:v>31</c:v>
                </c:pt>
                <c:pt idx="1">
                  <c:v>16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1822789093512054"/>
          <c:y val="3.4867503486750349E-2"/>
          <c:w val="0.29425481189851266"/>
          <c:h val="0.96513249651324962"/>
        </c:manualLayout>
      </c:layout>
      <c:overlay val="0"/>
      <c:spPr>
        <a:noFill/>
        <a:ln>
          <a:noFill/>
        </a:ln>
        <a:effectLst/>
      </c:spPr>
      <c:txPr>
        <a:bodyPr rot="0" spcFirstLastPara="1" vertOverflow="ellipsis" vert="horz" wrap="square" anchor="b" anchorCtr="0"/>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25ACC-8434-4A02-A0DB-F98CF756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10</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Hikmawan</dc:creator>
  <cp:lastModifiedBy>DELL</cp:lastModifiedBy>
  <cp:revision>143</cp:revision>
  <cp:lastPrinted>2020-07-29T14:19:00Z</cp:lastPrinted>
  <dcterms:created xsi:type="dcterms:W3CDTF">2020-07-29T00:03:00Z</dcterms:created>
  <dcterms:modified xsi:type="dcterms:W3CDTF">2020-07-29T14:23:00Z</dcterms:modified>
</cp:coreProperties>
</file>